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AE06B" w14:textId="77777777" w:rsidR="00981DD9" w:rsidRPr="00463379" w:rsidRDefault="00981DD9">
      <w:pPr>
        <w:jc w:val="both"/>
        <w:outlineLvl w:val="0"/>
        <w:rPr>
          <w:b/>
          <w:sz w:val="22"/>
          <w:lang w:val="en-GB" w:eastAsia="zh-CN"/>
        </w:rPr>
        <w:sectPr w:rsidR="00981DD9" w:rsidRPr="00463379">
          <w:footerReference w:type="even" r:id="rId9"/>
          <w:footerReference w:type="default" r:id="rId10"/>
          <w:headerReference w:type="first" r:id="rId11"/>
          <w:footerReference w:type="first" r:id="rId12"/>
          <w:pgSz w:w="12240" w:h="15840" w:code="1"/>
          <w:pgMar w:top="1584" w:right="1195" w:bottom="1440" w:left="1195" w:header="576" w:footer="1008" w:gutter="0"/>
          <w:cols w:space="720"/>
          <w:titlePg/>
        </w:sectPr>
      </w:pPr>
    </w:p>
    <w:p w14:paraId="2B305718" w14:textId="77777777" w:rsidR="00981DD9" w:rsidRPr="00463379" w:rsidRDefault="0050107C" w:rsidP="0006482F">
      <w:pPr>
        <w:pStyle w:val="Heading1"/>
        <w:spacing w:after="240"/>
        <w:jc w:val="center"/>
        <w:rPr>
          <w:sz w:val="28"/>
          <w:lang w:val="en-GB"/>
        </w:rPr>
      </w:pPr>
      <w:r>
        <w:rPr>
          <w:sz w:val="28"/>
          <w:lang w:val="en-GB"/>
        </w:rPr>
        <w:lastRenderedPageBreak/>
        <w:t>D</w:t>
      </w:r>
      <w:r w:rsidR="000714F7">
        <w:rPr>
          <w:sz w:val="28"/>
          <w:lang w:val="en-GB"/>
        </w:rPr>
        <w:t xml:space="preserve">raft </w:t>
      </w:r>
      <w:r w:rsidR="00557434">
        <w:rPr>
          <w:sz w:val="28"/>
          <w:lang w:val="en-GB"/>
        </w:rPr>
        <w:t>outcome document</w:t>
      </w:r>
      <w:r w:rsidR="00B41E34" w:rsidRPr="00463379">
        <w:rPr>
          <w:sz w:val="28"/>
          <w:lang w:val="en-GB"/>
        </w:rPr>
        <w:t xml:space="preserve"> </w:t>
      </w:r>
      <w:r w:rsidR="0006482F">
        <w:rPr>
          <w:sz w:val="28"/>
          <w:lang w:val="en-GB"/>
        </w:rPr>
        <w:t xml:space="preserve">to be adopted by the General Assembly </w:t>
      </w:r>
      <w:r w:rsidR="00EF544C">
        <w:rPr>
          <w:sz w:val="28"/>
          <w:lang w:val="en-GB"/>
        </w:rPr>
        <w:br/>
      </w:r>
      <w:r w:rsidR="0006482F">
        <w:rPr>
          <w:sz w:val="28"/>
          <w:lang w:val="en-GB"/>
        </w:rPr>
        <w:t>on 22 September 2014</w:t>
      </w:r>
    </w:p>
    <w:p w14:paraId="7889EEAF" w14:textId="77777777" w:rsidR="00CA2E01" w:rsidRPr="00CA2E01" w:rsidRDefault="00463379" w:rsidP="00D14778">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987" w:hanging="720"/>
      </w:pPr>
      <w:r>
        <w:rPr>
          <w:rFonts w:ascii="Times New Roman Bold" w:hAnsi="Times New Roman Bold"/>
          <w:spacing w:val="2"/>
          <w:w w:val="100"/>
        </w:rPr>
        <w:t>6</w:t>
      </w:r>
      <w:r w:rsidR="000714F7">
        <w:rPr>
          <w:rFonts w:ascii="Times New Roman Bold" w:hAnsi="Times New Roman Bold"/>
          <w:spacing w:val="2"/>
          <w:w w:val="100"/>
        </w:rPr>
        <w:t>9</w:t>
      </w:r>
      <w:r>
        <w:rPr>
          <w:rFonts w:ascii="Times New Roman Bold" w:hAnsi="Times New Roman Bold"/>
          <w:spacing w:val="2"/>
          <w:w w:val="100"/>
        </w:rPr>
        <w:t>/.</w:t>
      </w:r>
      <w:r>
        <w:rPr>
          <w:rFonts w:ascii="Times New Roman Bold" w:hAnsi="Times New Roman Bold"/>
          <w:spacing w:val="2"/>
          <w:w w:val="100"/>
        </w:rPr>
        <w:tab/>
      </w:r>
      <w:r w:rsidR="00A83BBA">
        <w:rPr>
          <w:rFonts w:ascii="Times New Roman Bold" w:hAnsi="Times New Roman Bold"/>
          <w:spacing w:val="2"/>
          <w:w w:val="100"/>
        </w:rPr>
        <w:t>Outcome document</w:t>
      </w:r>
      <w:r w:rsidR="0006482F">
        <w:rPr>
          <w:rFonts w:ascii="Times New Roman Bold" w:hAnsi="Times New Roman Bold"/>
          <w:spacing w:val="2"/>
          <w:w w:val="100"/>
        </w:rPr>
        <w:t xml:space="preserve"> of the H</w:t>
      </w:r>
      <w:r w:rsidRPr="00463379">
        <w:rPr>
          <w:rFonts w:ascii="Times New Roman Bold" w:hAnsi="Times New Roman Bold"/>
          <w:spacing w:val="2"/>
          <w:w w:val="100"/>
        </w:rPr>
        <w:t xml:space="preserve">igh-level </w:t>
      </w:r>
      <w:r w:rsidR="006311A5">
        <w:rPr>
          <w:rFonts w:ascii="Times New Roman Bold" w:hAnsi="Times New Roman Bold"/>
          <w:spacing w:val="2"/>
          <w:w w:val="100"/>
        </w:rPr>
        <w:t>M</w:t>
      </w:r>
      <w:r w:rsidRPr="00463379">
        <w:rPr>
          <w:rFonts w:ascii="Times New Roman Bold" w:hAnsi="Times New Roman Bold"/>
          <w:spacing w:val="2"/>
          <w:w w:val="100"/>
        </w:rPr>
        <w:t>eeting of the General Assembly</w:t>
      </w:r>
      <w:r w:rsidR="00246F60">
        <w:rPr>
          <w:rFonts w:ascii="Times New Roman Bold" w:hAnsi="Times New Roman Bold"/>
          <w:spacing w:val="2"/>
          <w:w w:val="100"/>
        </w:rPr>
        <w:t>:</w:t>
      </w:r>
      <w:r w:rsidRPr="00463379">
        <w:t xml:space="preserve"> </w:t>
      </w:r>
      <w:r w:rsidR="00246F60">
        <w:t>T</w:t>
      </w:r>
      <w:r w:rsidRPr="00463379">
        <w:t xml:space="preserve">he </w:t>
      </w:r>
      <w:r w:rsidR="00246F60">
        <w:t>W</w:t>
      </w:r>
      <w:r w:rsidR="000714F7">
        <w:t xml:space="preserve">orld </w:t>
      </w:r>
      <w:r w:rsidR="00246F60">
        <w:t>C</w:t>
      </w:r>
      <w:r w:rsidR="000714F7">
        <w:t xml:space="preserve">onference on </w:t>
      </w:r>
      <w:r w:rsidR="00246F60">
        <w:t>Indigenous P</w:t>
      </w:r>
      <w:r w:rsidR="000714F7">
        <w:t>eoples</w:t>
      </w:r>
    </w:p>
    <w:p w14:paraId="5E96ADE7" w14:textId="77777777" w:rsidR="00463379" w:rsidRPr="00463379" w:rsidRDefault="00463379" w:rsidP="00463379">
      <w:pPr>
        <w:pStyle w:val="SingleTxt"/>
        <w:spacing w:after="0" w:line="120" w:lineRule="exact"/>
        <w:rPr>
          <w:sz w:val="10"/>
          <w:lang w:val="en-GB"/>
        </w:rPr>
      </w:pPr>
    </w:p>
    <w:p w14:paraId="559A5A59" w14:textId="77777777" w:rsidR="00463379" w:rsidRDefault="00463379" w:rsidP="00283B0F">
      <w:pPr>
        <w:pStyle w:val="SingleTxt"/>
        <w:spacing w:after="130"/>
        <w:rPr>
          <w:i/>
          <w:lang w:val="en-GB"/>
        </w:rPr>
      </w:pPr>
      <w:r w:rsidRPr="00463379">
        <w:rPr>
          <w:lang w:val="en-GB"/>
        </w:rPr>
        <w:tab/>
      </w:r>
      <w:r w:rsidRPr="00463379">
        <w:rPr>
          <w:i/>
          <w:lang w:val="en-GB"/>
        </w:rPr>
        <w:t>The General Assembly</w:t>
      </w:r>
    </w:p>
    <w:p w14:paraId="1D88E399" w14:textId="77777777" w:rsidR="0006482F" w:rsidRDefault="0006482F" w:rsidP="00283B0F">
      <w:pPr>
        <w:pStyle w:val="SingleTxt"/>
        <w:spacing w:after="130"/>
        <w:rPr>
          <w:i/>
          <w:lang w:val="en-GB"/>
        </w:rPr>
      </w:pPr>
      <w:r>
        <w:rPr>
          <w:i/>
          <w:lang w:val="en-GB"/>
        </w:rPr>
        <w:tab/>
        <w:t>Adopts th</w:t>
      </w:r>
      <w:r w:rsidR="00235C45">
        <w:rPr>
          <w:i/>
          <w:lang w:val="en-GB"/>
        </w:rPr>
        <w:t>e following</w:t>
      </w:r>
      <w:r w:rsidR="00ED3961">
        <w:rPr>
          <w:i/>
          <w:lang w:val="en-GB"/>
        </w:rPr>
        <w:t xml:space="preserve"> </w:t>
      </w:r>
      <w:r w:rsidR="00A83BBA">
        <w:rPr>
          <w:i/>
          <w:lang w:val="en-GB"/>
        </w:rPr>
        <w:t>outcome document</w:t>
      </w:r>
      <w:r w:rsidR="00235C45">
        <w:rPr>
          <w:i/>
          <w:lang w:val="en-GB"/>
        </w:rPr>
        <w:t>:</w:t>
      </w:r>
    </w:p>
    <w:p w14:paraId="27902133" w14:textId="77777777" w:rsidR="00104043" w:rsidRDefault="00A83BBA" w:rsidP="00104043">
      <w:pPr>
        <w:pStyle w:val="H1"/>
        <w:spacing w:after="130"/>
        <w:ind w:firstLine="0"/>
      </w:pPr>
      <w:r>
        <w:rPr>
          <w:rFonts w:ascii="Times New Roman Bold" w:hAnsi="Times New Roman Bold"/>
          <w:spacing w:val="2"/>
          <w:w w:val="100"/>
        </w:rPr>
        <w:t>Outcome document</w:t>
      </w:r>
      <w:r w:rsidR="00104043" w:rsidRPr="00463379">
        <w:rPr>
          <w:rFonts w:ascii="Times New Roman Bold" w:hAnsi="Times New Roman Bold"/>
          <w:spacing w:val="2"/>
          <w:w w:val="100"/>
        </w:rPr>
        <w:t xml:space="preserve"> of the </w:t>
      </w:r>
      <w:r w:rsidR="00104043">
        <w:rPr>
          <w:rFonts w:ascii="Times New Roman Bold" w:hAnsi="Times New Roman Bold"/>
          <w:spacing w:val="2"/>
          <w:w w:val="100"/>
        </w:rPr>
        <w:t>H</w:t>
      </w:r>
      <w:r w:rsidR="00104043" w:rsidRPr="00463379">
        <w:rPr>
          <w:rFonts w:ascii="Times New Roman Bold" w:hAnsi="Times New Roman Bold"/>
          <w:spacing w:val="2"/>
          <w:w w:val="100"/>
        </w:rPr>
        <w:t xml:space="preserve">igh-level </w:t>
      </w:r>
      <w:r w:rsidR="00104043">
        <w:rPr>
          <w:rFonts w:ascii="Times New Roman Bold" w:hAnsi="Times New Roman Bold"/>
          <w:spacing w:val="2"/>
          <w:w w:val="100"/>
        </w:rPr>
        <w:t>M</w:t>
      </w:r>
      <w:r w:rsidR="00104043" w:rsidRPr="00463379">
        <w:rPr>
          <w:rFonts w:ascii="Times New Roman Bold" w:hAnsi="Times New Roman Bold"/>
          <w:spacing w:val="2"/>
          <w:w w:val="100"/>
        </w:rPr>
        <w:t>eeting of the General Assembly</w:t>
      </w:r>
      <w:r w:rsidR="00104043">
        <w:rPr>
          <w:rFonts w:ascii="Times New Roman Bold" w:hAnsi="Times New Roman Bold"/>
          <w:spacing w:val="2"/>
          <w:w w:val="100"/>
        </w:rPr>
        <w:t>:</w:t>
      </w:r>
      <w:r w:rsidR="00104043" w:rsidRPr="00463379">
        <w:t xml:space="preserve"> </w:t>
      </w:r>
      <w:r w:rsidR="00104043">
        <w:t>T</w:t>
      </w:r>
      <w:r w:rsidR="00104043" w:rsidRPr="00FB0B3B">
        <w:rPr>
          <w:rFonts w:ascii="Times New Roman Bold" w:hAnsi="Times New Roman Bold"/>
          <w:spacing w:val="6"/>
        </w:rPr>
        <w:t xml:space="preserve">he </w:t>
      </w:r>
      <w:r w:rsidR="00104043">
        <w:rPr>
          <w:rFonts w:ascii="Times New Roman Bold" w:hAnsi="Times New Roman Bold"/>
          <w:spacing w:val="6"/>
        </w:rPr>
        <w:t>World Conference on Indigenous Peoples</w:t>
      </w:r>
    </w:p>
    <w:p w14:paraId="5F567957" w14:textId="77777777" w:rsidR="00DC5FB7" w:rsidRDefault="00FA0DAF" w:rsidP="000E0843">
      <w:pPr>
        <w:pStyle w:val="SingleTxt"/>
        <w:spacing w:after="130"/>
        <w:rPr>
          <w:lang w:val="en-GB"/>
        </w:rPr>
      </w:pPr>
      <w:r>
        <w:rPr>
          <w:lang w:val="en-GB"/>
        </w:rPr>
        <w:t>1.</w:t>
      </w:r>
      <w:r>
        <w:rPr>
          <w:lang w:val="en-GB"/>
        </w:rPr>
        <w:tab/>
      </w:r>
      <w:bookmarkStart w:id="0" w:name="_GoBack"/>
      <w:r w:rsidR="00303AF6">
        <w:rPr>
          <w:lang w:val="en-GB"/>
        </w:rPr>
        <w:t>W</w:t>
      </w:r>
      <w:r w:rsidR="00303AF6" w:rsidRPr="00EB0B8A">
        <w:rPr>
          <w:lang w:val="en-GB"/>
        </w:rPr>
        <w:t xml:space="preserve">e, </w:t>
      </w:r>
      <w:r w:rsidR="00303AF6">
        <w:rPr>
          <w:lang w:val="en-GB"/>
        </w:rPr>
        <w:t xml:space="preserve">the </w:t>
      </w:r>
      <w:r w:rsidR="00303AF6" w:rsidRPr="00EB0B8A">
        <w:rPr>
          <w:lang w:val="en-GB"/>
        </w:rPr>
        <w:t xml:space="preserve">Heads of State and Government, Ministers and representatives of Member States, </w:t>
      </w:r>
      <w:r w:rsidR="00805004">
        <w:rPr>
          <w:lang w:val="en-GB"/>
        </w:rPr>
        <w:t>reaffirming</w:t>
      </w:r>
      <w:r w:rsidR="004C61C7">
        <w:rPr>
          <w:lang w:val="en-GB"/>
        </w:rPr>
        <w:t xml:space="preserve"> </w:t>
      </w:r>
      <w:r w:rsidR="00303AF6">
        <w:rPr>
          <w:rFonts w:hint="eastAsia"/>
          <w:lang w:val="en-GB" w:eastAsia="zh-CN"/>
        </w:rPr>
        <w:t>our solemn commitment to the purposes and principles of the United Nations Charter</w:t>
      </w:r>
      <w:r w:rsidR="00303AF6">
        <w:rPr>
          <w:lang w:val="en-GB" w:eastAsia="zh-CN"/>
        </w:rPr>
        <w:t>,</w:t>
      </w:r>
      <w:r w:rsidR="00303AF6" w:rsidRPr="00EB0B8A">
        <w:rPr>
          <w:lang w:val="en-GB"/>
        </w:rPr>
        <w:t xml:space="preserve"> in a </w:t>
      </w:r>
      <w:r w:rsidR="00303AF6">
        <w:rPr>
          <w:lang w:val="en-GB"/>
        </w:rPr>
        <w:t>spirit of cooperation with the Indigenous P</w:t>
      </w:r>
      <w:r w:rsidR="00303AF6" w:rsidRPr="00EB0B8A">
        <w:rPr>
          <w:lang w:val="en-GB"/>
        </w:rPr>
        <w:t xml:space="preserve">eoples </w:t>
      </w:r>
      <w:bookmarkEnd w:id="0"/>
      <w:r w:rsidR="00303AF6" w:rsidRPr="00EB0B8A">
        <w:rPr>
          <w:lang w:val="en-GB"/>
        </w:rPr>
        <w:t>of the world</w:t>
      </w:r>
      <w:r w:rsidR="00805004">
        <w:rPr>
          <w:lang w:val="en-GB"/>
        </w:rPr>
        <w:t xml:space="preserve"> are</w:t>
      </w:r>
      <w:r w:rsidR="00805004" w:rsidRPr="00EB0B8A">
        <w:rPr>
          <w:lang w:val="en-GB"/>
        </w:rPr>
        <w:t xml:space="preserve"> </w:t>
      </w:r>
      <w:r w:rsidR="00303AF6">
        <w:rPr>
          <w:lang w:val="en-GB"/>
        </w:rPr>
        <w:t xml:space="preserve">assembled </w:t>
      </w:r>
      <w:r w:rsidR="00303AF6" w:rsidRPr="00EB0B8A">
        <w:rPr>
          <w:lang w:val="en-GB"/>
        </w:rPr>
        <w:t>at United Nations Headquarters in New York on 22 and 23 September 2014, on the o</w:t>
      </w:r>
      <w:r w:rsidR="00303AF6">
        <w:rPr>
          <w:lang w:val="en-GB"/>
        </w:rPr>
        <w:t xml:space="preserve">ccasion of the World Conference </w:t>
      </w:r>
      <w:r w:rsidR="00303AF6" w:rsidRPr="00EB0B8A">
        <w:rPr>
          <w:lang w:val="en-GB"/>
        </w:rPr>
        <w:t>on Indigenous Peoples</w:t>
      </w:r>
      <w:r w:rsidR="00303AF6">
        <w:rPr>
          <w:lang w:val="en-GB"/>
        </w:rPr>
        <w:t xml:space="preserve">, to reiterate the important and continuing role of the United Nations in promoting and protecting the rights of Indigenous peoples. </w:t>
      </w:r>
    </w:p>
    <w:p w14:paraId="1379FA51" w14:textId="77777777" w:rsidR="00DC5FB7" w:rsidRDefault="00FA0DAF" w:rsidP="000E0843">
      <w:pPr>
        <w:pStyle w:val="SingleTxt"/>
        <w:spacing w:after="130"/>
        <w:rPr>
          <w:lang w:val="en-GB"/>
        </w:rPr>
      </w:pPr>
      <w:r>
        <w:rPr>
          <w:lang w:val="en-GB"/>
        </w:rPr>
        <w:t>2.</w:t>
      </w:r>
      <w:r>
        <w:rPr>
          <w:lang w:val="en-GB"/>
        </w:rPr>
        <w:tab/>
      </w:r>
      <w:r w:rsidR="00303AF6">
        <w:rPr>
          <w:lang w:val="en-GB"/>
        </w:rPr>
        <w:t>We welcome</w:t>
      </w:r>
      <w:r w:rsidR="00AB349F">
        <w:rPr>
          <w:lang w:val="en-GB"/>
        </w:rPr>
        <w:t xml:space="preserve"> the</w:t>
      </w:r>
      <w:r w:rsidR="00303AF6">
        <w:rPr>
          <w:lang w:val="en-GB"/>
        </w:rPr>
        <w:t xml:space="preserve"> indigenous peoples</w:t>
      </w:r>
      <w:r w:rsidR="00CF1C3F">
        <w:rPr>
          <w:lang w:val="en-GB"/>
        </w:rPr>
        <w:t>’ preparatory processes for</w:t>
      </w:r>
      <w:r w:rsidR="00303AF6">
        <w:rPr>
          <w:lang w:val="en-GB"/>
        </w:rPr>
        <w:t xml:space="preserve"> the World Conference in</w:t>
      </w:r>
      <w:r w:rsidR="00CF1C3F">
        <w:rPr>
          <w:lang w:val="en-GB"/>
        </w:rPr>
        <w:t>cluding</w:t>
      </w:r>
      <w:r w:rsidR="00AB349F" w:rsidRPr="00AB349F">
        <w:rPr>
          <w:lang w:val="en-GB"/>
        </w:rPr>
        <w:t xml:space="preserve"> </w:t>
      </w:r>
      <w:r w:rsidR="00AB349F">
        <w:rPr>
          <w:lang w:val="en-GB"/>
        </w:rPr>
        <w:t>the Global Indigenous Preparatory Conference for the World Conference on Indigenous Peoples held in Alta, Norway, in June 2013. We take note of the outcome document of the Alta Conference</w:t>
      </w:r>
      <w:r w:rsidR="00AB349F">
        <w:rPr>
          <w:rStyle w:val="FootnoteReference"/>
          <w:lang w:val="en-GB"/>
        </w:rPr>
        <w:footnoteReference w:id="1"/>
      </w:r>
      <w:r w:rsidR="00AB349F">
        <w:rPr>
          <w:lang w:val="en-GB"/>
        </w:rPr>
        <w:t xml:space="preserve"> and other contributions made by indigenous peoples.  </w:t>
      </w:r>
      <w:r w:rsidR="00303AF6">
        <w:rPr>
          <w:lang w:val="en-GB"/>
        </w:rPr>
        <w:t xml:space="preserve">We also </w:t>
      </w:r>
      <w:r w:rsidR="00AB349F">
        <w:rPr>
          <w:lang w:val="en-GB"/>
        </w:rPr>
        <w:t>welcome</w:t>
      </w:r>
      <w:r w:rsidR="00303AF6">
        <w:rPr>
          <w:lang w:val="en-GB"/>
        </w:rPr>
        <w:t xml:space="preserve"> the inclusive preparatory process for this High-level Plenary meeting, including the comprehensive engagement of the representatives of indigenous peoples.</w:t>
      </w:r>
      <w:r w:rsidR="00CF37E1">
        <w:rPr>
          <w:lang w:val="en-GB"/>
        </w:rPr>
        <w:t xml:space="preserve"> </w:t>
      </w:r>
    </w:p>
    <w:p w14:paraId="4984A4A1" w14:textId="77777777" w:rsidR="00AB349F" w:rsidRDefault="00876AC3" w:rsidP="000E0843">
      <w:pPr>
        <w:pStyle w:val="SingleTxt"/>
        <w:spacing w:after="130"/>
        <w:rPr>
          <w:lang w:val="en-GB"/>
        </w:rPr>
      </w:pPr>
      <w:r>
        <w:rPr>
          <w:lang w:val="en-GB"/>
        </w:rPr>
        <w:t>3.</w:t>
      </w:r>
      <w:r>
        <w:rPr>
          <w:lang w:val="en-GB"/>
        </w:rPr>
        <w:tab/>
      </w:r>
      <w:r w:rsidR="00242717">
        <w:rPr>
          <w:lang w:val="en-GB"/>
        </w:rPr>
        <w:t xml:space="preserve">In </w:t>
      </w:r>
      <w:r w:rsidR="00242717" w:rsidRPr="00E26BFE">
        <w:rPr>
          <w:highlight w:val="yellow"/>
          <w:lang w:val="en-GB"/>
        </w:rPr>
        <w:t>adopting this outcome document, w</w:t>
      </w:r>
      <w:r w:rsidR="00303AF6" w:rsidRPr="00E26BFE">
        <w:rPr>
          <w:highlight w:val="yellow"/>
          <w:lang w:val="en-GB"/>
        </w:rPr>
        <w:t xml:space="preserve">e </w:t>
      </w:r>
      <w:r w:rsidR="00805004" w:rsidRPr="00E26BFE">
        <w:rPr>
          <w:highlight w:val="yellow"/>
          <w:lang w:val="en-GB"/>
        </w:rPr>
        <w:t>reaffirm our commitment to</w:t>
      </w:r>
      <w:r w:rsidR="00303AF6" w:rsidRPr="00E26BFE">
        <w:rPr>
          <w:highlight w:val="yellow"/>
          <w:lang w:val="en-GB"/>
        </w:rPr>
        <w:t xml:space="preserve"> consult and cooperate in good faith with indigenous peoples </w:t>
      </w:r>
      <w:r w:rsidR="007804A2" w:rsidRPr="00E26BFE">
        <w:rPr>
          <w:highlight w:val="yellow"/>
          <w:lang w:val="en-GB"/>
        </w:rPr>
        <w:t xml:space="preserve">concerned </w:t>
      </w:r>
      <w:r w:rsidR="00303AF6" w:rsidRPr="00E26BFE">
        <w:rPr>
          <w:highlight w:val="yellow"/>
          <w:lang w:val="en-GB"/>
        </w:rPr>
        <w:t>through their own representative institutions in order to obtain their free, prior and informed consent</w:t>
      </w:r>
      <w:r w:rsidR="00685B08" w:rsidRPr="00E26BFE">
        <w:rPr>
          <w:highlight w:val="yellow"/>
          <w:lang w:val="en-GB"/>
        </w:rPr>
        <w:t xml:space="preserve">, prior to the approval of any project affecting their lands, territories and </w:t>
      </w:r>
      <w:proofErr w:type="gramStart"/>
      <w:r w:rsidR="00685B08" w:rsidRPr="00E26BFE">
        <w:rPr>
          <w:highlight w:val="yellow"/>
          <w:lang w:val="en-GB"/>
        </w:rPr>
        <w:t>resources  or</w:t>
      </w:r>
      <w:proofErr w:type="gramEnd"/>
      <w:r w:rsidR="00685B08" w:rsidRPr="00E26BFE">
        <w:rPr>
          <w:highlight w:val="yellow"/>
          <w:lang w:val="en-GB"/>
        </w:rPr>
        <w:t xml:space="preserve"> </w:t>
      </w:r>
      <w:r w:rsidR="00303AF6" w:rsidRPr="00E26BFE">
        <w:rPr>
          <w:highlight w:val="yellow"/>
          <w:lang w:val="en-GB"/>
        </w:rPr>
        <w:t>before adopting and implementing legislative or administrative measures that may affect them.</w:t>
      </w:r>
    </w:p>
    <w:p w14:paraId="00AC9EF7" w14:textId="77777777" w:rsidR="00DC5FB7" w:rsidRDefault="00C11018" w:rsidP="000E0843">
      <w:pPr>
        <w:pStyle w:val="SingleTxt"/>
        <w:spacing w:after="130"/>
        <w:rPr>
          <w:lang w:val="en-GB"/>
        </w:rPr>
      </w:pPr>
      <w:r>
        <w:rPr>
          <w:lang w:val="en-GB"/>
        </w:rPr>
        <w:t>4.</w:t>
      </w:r>
      <w:r>
        <w:rPr>
          <w:lang w:val="en-GB"/>
        </w:rPr>
        <w:tab/>
        <w:t>We reaffirm our solemn commitment</w:t>
      </w:r>
      <w:r w:rsidRPr="00104043">
        <w:rPr>
          <w:lang w:val="en-GB"/>
        </w:rPr>
        <w:t xml:space="preserve"> to </w:t>
      </w:r>
      <w:r>
        <w:rPr>
          <w:lang w:val="en-GB"/>
        </w:rPr>
        <w:t xml:space="preserve">respect, </w:t>
      </w:r>
      <w:r w:rsidRPr="00104043">
        <w:rPr>
          <w:lang w:val="en-GB"/>
        </w:rPr>
        <w:t xml:space="preserve">promote and advance </w:t>
      </w:r>
      <w:r>
        <w:rPr>
          <w:lang w:val="en-GB"/>
        </w:rPr>
        <w:t xml:space="preserve">and in no way diminish </w:t>
      </w:r>
      <w:r w:rsidRPr="00104043">
        <w:rPr>
          <w:lang w:val="en-GB"/>
        </w:rPr>
        <w:t xml:space="preserve">the rights of indigenous peoples, including </w:t>
      </w:r>
      <w:r>
        <w:rPr>
          <w:lang w:val="en-GB"/>
        </w:rPr>
        <w:t xml:space="preserve">those set out in </w:t>
      </w:r>
      <w:r w:rsidRPr="00104043">
        <w:rPr>
          <w:lang w:val="en-GB"/>
        </w:rPr>
        <w:t>the United Nations Declaration on the Rights of Indigenous Peoples</w:t>
      </w:r>
      <w:r>
        <w:rPr>
          <w:lang w:val="en-GB"/>
        </w:rPr>
        <w:t xml:space="preserve"> adopted by the General </w:t>
      </w:r>
      <w:r>
        <w:rPr>
          <w:lang w:val="en-GB"/>
        </w:rPr>
        <w:lastRenderedPageBreak/>
        <w:t>Assembly on 13 September 2007</w:t>
      </w:r>
      <w:r w:rsidRPr="00463379">
        <w:rPr>
          <w:rStyle w:val="FootnoteReference"/>
          <w:lang w:val="en-GB"/>
        </w:rPr>
        <w:footnoteReference w:id="2"/>
      </w:r>
      <w:r>
        <w:rPr>
          <w:lang w:val="en-GB"/>
        </w:rPr>
        <w:t>.</w:t>
      </w:r>
      <w:r w:rsidR="00FA0DAF">
        <w:rPr>
          <w:lang w:val="en-GB"/>
        </w:rPr>
        <w:t>5.</w:t>
      </w:r>
      <w:r w:rsidR="00FA0DAF">
        <w:rPr>
          <w:lang w:val="en-GB"/>
        </w:rPr>
        <w:tab/>
      </w:r>
      <w:r>
        <w:rPr>
          <w:lang w:val="en-GB"/>
        </w:rPr>
        <w:t>In addition to the Declaration, we</w:t>
      </w:r>
      <w:r w:rsidR="009256FF">
        <w:rPr>
          <w:lang w:val="en-GB"/>
        </w:rPr>
        <w:t xml:space="preserve"> r</w:t>
      </w:r>
      <w:r w:rsidR="00104043">
        <w:rPr>
          <w:lang w:val="en-GB"/>
        </w:rPr>
        <w:t xml:space="preserve">ecall </w:t>
      </w:r>
      <w:r w:rsidR="006C4EDA">
        <w:rPr>
          <w:lang w:val="en-GB"/>
        </w:rPr>
        <w:t>the</w:t>
      </w:r>
      <w:r w:rsidR="00AB349F">
        <w:rPr>
          <w:lang w:val="en-GB"/>
        </w:rPr>
        <w:t xml:space="preserve"> other</w:t>
      </w:r>
      <w:r w:rsidR="006C4EDA">
        <w:rPr>
          <w:lang w:val="en-GB"/>
        </w:rPr>
        <w:t xml:space="preserve"> </w:t>
      </w:r>
      <w:r w:rsidR="00104043">
        <w:rPr>
          <w:lang w:val="en-GB"/>
        </w:rPr>
        <w:t xml:space="preserve">major </w:t>
      </w:r>
      <w:r w:rsidR="00104043" w:rsidRPr="00DF6BCF">
        <w:rPr>
          <w:lang w:val="en-GB"/>
        </w:rPr>
        <w:t xml:space="preserve">achievements </w:t>
      </w:r>
      <w:r w:rsidR="00104043">
        <w:rPr>
          <w:lang w:val="en-GB"/>
        </w:rPr>
        <w:t>of</w:t>
      </w:r>
      <w:r w:rsidR="00104043" w:rsidRPr="00DF6BCF">
        <w:rPr>
          <w:lang w:val="en-GB"/>
        </w:rPr>
        <w:t xml:space="preserve"> the past two </w:t>
      </w:r>
      <w:r w:rsidR="00104043">
        <w:rPr>
          <w:lang w:val="en-GB"/>
        </w:rPr>
        <w:t>d</w:t>
      </w:r>
      <w:r w:rsidR="00104043" w:rsidRPr="00DF6BCF">
        <w:rPr>
          <w:lang w:val="en-GB"/>
        </w:rPr>
        <w:t xml:space="preserve">ecades </w:t>
      </w:r>
      <w:r w:rsidR="00104043">
        <w:rPr>
          <w:lang w:val="en-GB"/>
        </w:rPr>
        <w:t>in building an international framework for the advancement of the rights and aspirations of the world’s indigenous peoples, including</w:t>
      </w:r>
      <w:r w:rsidR="006C4EDA">
        <w:rPr>
          <w:lang w:val="en-GB"/>
        </w:rPr>
        <w:t xml:space="preserve"> the </w:t>
      </w:r>
      <w:r w:rsidR="00104043" w:rsidRPr="00DF6BCF">
        <w:rPr>
          <w:lang w:val="en-GB"/>
        </w:rPr>
        <w:t xml:space="preserve">establishment of the Permanent Forum on Indigenous Issues, the </w:t>
      </w:r>
      <w:r w:rsidR="00104043">
        <w:rPr>
          <w:lang w:val="en-GB"/>
        </w:rPr>
        <w:t xml:space="preserve">creation of an </w:t>
      </w:r>
      <w:r w:rsidR="00104043" w:rsidRPr="00DF6BCF">
        <w:rPr>
          <w:lang w:val="en-GB"/>
        </w:rPr>
        <w:t>Expert Mechanism on the Rights of Indigenous Peoples</w:t>
      </w:r>
      <w:r w:rsidR="00104043">
        <w:rPr>
          <w:lang w:val="en-GB"/>
        </w:rPr>
        <w:t>,</w:t>
      </w:r>
      <w:r w:rsidR="00104043" w:rsidRPr="00DF6BCF">
        <w:rPr>
          <w:lang w:val="en-GB"/>
        </w:rPr>
        <w:t xml:space="preserve"> and the </w:t>
      </w:r>
      <w:r w:rsidR="00104043">
        <w:rPr>
          <w:lang w:val="en-GB"/>
        </w:rPr>
        <w:t xml:space="preserve">appointment of a </w:t>
      </w:r>
      <w:r w:rsidR="00104043" w:rsidRPr="00DF6BCF">
        <w:rPr>
          <w:lang w:val="en-GB"/>
        </w:rPr>
        <w:t>Special Rapporteur on the Rights of Indigenous Peoples</w:t>
      </w:r>
      <w:r w:rsidR="00AB349F">
        <w:rPr>
          <w:lang w:val="en-GB"/>
        </w:rPr>
        <w:t xml:space="preserve">. We </w:t>
      </w:r>
      <w:r w:rsidR="004C61C7">
        <w:rPr>
          <w:lang w:val="en-GB"/>
        </w:rPr>
        <w:t>commit to follow up</w:t>
      </w:r>
      <w:r w:rsidR="006C4EDA">
        <w:rPr>
          <w:lang w:val="en-GB"/>
        </w:rPr>
        <w:t xml:space="preserve"> on recommendations and advice issued by these bodies</w:t>
      </w:r>
      <w:r w:rsidR="00AB349F">
        <w:rPr>
          <w:lang w:val="en-GB"/>
        </w:rPr>
        <w:t xml:space="preserve"> in cooperation with indigenous peoples</w:t>
      </w:r>
      <w:r w:rsidR="00104043">
        <w:rPr>
          <w:lang w:val="en-GB"/>
        </w:rPr>
        <w:t>.</w:t>
      </w:r>
      <w:r w:rsidR="00CF37E1">
        <w:rPr>
          <w:lang w:val="en-GB"/>
        </w:rPr>
        <w:t xml:space="preserve"> </w:t>
      </w:r>
    </w:p>
    <w:p w14:paraId="795B2179" w14:textId="77777777" w:rsidR="00DC5FB7" w:rsidRDefault="00FA0DAF" w:rsidP="000E0843">
      <w:pPr>
        <w:pStyle w:val="SingleTxt"/>
        <w:spacing w:after="130"/>
        <w:rPr>
          <w:lang w:val="en-GB"/>
        </w:rPr>
      </w:pPr>
      <w:r>
        <w:rPr>
          <w:lang w:val="en-GB"/>
        </w:rPr>
        <w:t>6.</w:t>
      </w:r>
      <w:r>
        <w:rPr>
          <w:lang w:val="en-GB"/>
        </w:rPr>
        <w:tab/>
      </w:r>
      <w:r w:rsidR="006C4EDA">
        <w:rPr>
          <w:lang w:val="en-GB"/>
        </w:rPr>
        <w:t>We encourage those</w:t>
      </w:r>
      <w:r w:rsidR="006C4EDA" w:rsidRPr="004A01CA">
        <w:rPr>
          <w:lang w:val="en-GB"/>
        </w:rPr>
        <w:t xml:space="preserve"> </w:t>
      </w:r>
      <w:r w:rsidR="006C4EDA">
        <w:rPr>
          <w:lang w:val="en-GB"/>
        </w:rPr>
        <w:t>states</w:t>
      </w:r>
      <w:r w:rsidR="006C4EDA" w:rsidRPr="004A01CA">
        <w:rPr>
          <w:lang w:val="en-GB"/>
        </w:rPr>
        <w:t xml:space="preserve"> that have not </w:t>
      </w:r>
      <w:r w:rsidR="006C4EDA">
        <w:rPr>
          <w:lang w:val="en-GB"/>
        </w:rPr>
        <w:t xml:space="preserve">yet ratified or acceded to the </w:t>
      </w:r>
      <w:r w:rsidR="006C4EDA" w:rsidRPr="004A01CA">
        <w:rPr>
          <w:lang w:val="en-GB"/>
        </w:rPr>
        <w:t>International Labour Organization Indigenous and Tribal Peoples</w:t>
      </w:r>
      <w:r w:rsidR="006C4EDA">
        <w:rPr>
          <w:lang w:val="en-GB"/>
        </w:rPr>
        <w:t xml:space="preserve"> Convention, 1989 (no. 169), to consider doing so</w:t>
      </w:r>
      <w:r w:rsidR="007B5A99">
        <w:rPr>
          <w:lang w:val="en-GB"/>
        </w:rPr>
        <w:t>;</w:t>
      </w:r>
      <w:r w:rsidR="006C4EDA">
        <w:rPr>
          <w:lang w:val="en-GB"/>
        </w:rPr>
        <w:t xml:space="preserve"> </w:t>
      </w:r>
      <w:r w:rsidR="007B5A99">
        <w:rPr>
          <w:lang w:val="en-GB"/>
        </w:rPr>
        <w:t>we</w:t>
      </w:r>
      <w:r w:rsidR="006C4EDA" w:rsidRPr="00280EF1">
        <w:rPr>
          <w:lang w:val="en-GB"/>
        </w:rPr>
        <w:t xml:space="preserve"> recall the obligation</w:t>
      </w:r>
      <w:r w:rsidR="007B5A99">
        <w:rPr>
          <w:lang w:val="en-GB"/>
        </w:rPr>
        <w:t xml:space="preserve"> under the Convention,</w:t>
      </w:r>
      <w:r w:rsidR="006C4EDA" w:rsidRPr="00280EF1">
        <w:rPr>
          <w:lang w:val="en-GB"/>
        </w:rPr>
        <w:t xml:space="preserve"> of </w:t>
      </w:r>
      <w:r w:rsidR="006C58E7">
        <w:rPr>
          <w:lang w:val="en-GB"/>
        </w:rPr>
        <w:t>r</w:t>
      </w:r>
      <w:r w:rsidR="006C4EDA" w:rsidRPr="00280EF1">
        <w:rPr>
          <w:lang w:val="en-GB"/>
        </w:rPr>
        <w:t xml:space="preserve">atifying States </w:t>
      </w:r>
      <w:r w:rsidR="007B5A99">
        <w:rPr>
          <w:lang w:val="en-GB"/>
        </w:rPr>
        <w:t>to develop coordinated and systematic action to protect the rights of indigenous peoples</w:t>
      </w:r>
      <w:r w:rsidR="007804A2">
        <w:rPr>
          <w:rStyle w:val="FootnoteReference"/>
          <w:lang w:val="en-GB"/>
        </w:rPr>
        <w:footnoteReference w:id="3"/>
      </w:r>
      <w:r w:rsidR="007B5A99">
        <w:rPr>
          <w:lang w:val="en-GB"/>
        </w:rPr>
        <w:t xml:space="preserve">. </w:t>
      </w:r>
    </w:p>
    <w:p w14:paraId="3820248E" w14:textId="77777777" w:rsidR="00DC5FB7" w:rsidRDefault="00FA0DAF" w:rsidP="000E0843">
      <w:pPr>
        <w:pStyle w:val="SingleTxt"/>
        <w:spacing w:after="130"/>
        <w:rPr>
          <w:lang w:val="en-GB"/>
        </w:rPr>
      </w:pPr>
      <w:r>
        <w:rPr>
          <w:lang w:val="en-GB"/>
        </w:rPr>
        <w:t>7.</w:t>
      </w:r>
      <w:r>
        <w:rPr>
          <w:lang w:val="en-GB"/>
        </w:rPr>
        <w:tab/>
      </w:r>
      <w:r w:rsidR="009256FF">
        <w:rPr>
          <w:lang w:val="en-GB"/>
        </w:rPr>
        <w:t xml:space="preserve">We </w:t>
      </w:r>
      <w:r w:rsidR="007804A2">
        <w:rPr>
          <w:lang w:val="en-GB"/>
        </w:rPr>
        <w:t xml:space="preserve">reaffirm our </w:t>
      </w:r>
      <w:r w:rsidR="009256FF">
        <w:rPr>
          <w:lang w:val="en-GB"/>
        </w:rPr>
        <w:t>c</w:t>
      </w:r>
      <w:r w:rsidR="004A01CA" w:rsidRPr="004A01CA">
        <w:rPr>
          <w:lang w:val="en-GB"/>
        </w:rPr>
        <w:t>ommit</w:t>
      </w:r>
      <w:r w:rsidR="007804A2">
        <w:rPr>
          <w:lang w:val="en-GB"/>
        </w:rPr>
        <w:t>ment to take</w:t>
      </w:r>
      <w:r w:rsidR="004C61C7">
        <w:rPr>
          <w:lang w:val="en-GB"/>
        </w:rPr>
        <w:t xml:space="preserve"> </w:t>
      </w:r>
      <w:r w:rsidR="0027378F">
        <w:rPr>
          <w:lang w:val="en-GB"/>
        </w:rPr>
        <w:t>legislative</w:t>
      </w:r>
      <w:r w:rsidR="007511A5">
        <w:rPr>
          <w:lang w:val="en-GB"/>
        </w:rPr>
        <w:t>, policy</w:t>
      </w:r>
      <w:r w:rsidR="000C1342">
        <w:rPr>
          <w:lang w:val="en-GB"/>
        </w:rPr>
        <w:t xml:space="preserve"> and </w:t>
      </w:r>
      <w:r w:rsidR="006C4EDA">
        <w:rPr>
          <w:lang w:val="en-GB"/>
        </w:rPr>
        <w:t>administrative</w:t>
      </w:r>
      <w:r w:rsidR="0027378F">
        <w:rPr>
          <w:lang w:val="en-GB"/>
        </w:rPr>
        <w:t xml:space="preserve"> measures</w:t>
      </w:r>
      <w:r w:rsidR="006C4EDA">
        <w:rPr>
          <w:lang w:val="en-GB"/>
        </w:rPr>
        <w:t xml:space="preserve"> to achieve the ends of the United Nations Declaration on the Rights of Indigenous Peoples</w:t>
      </w:r>
      <w:r w:rsidR="004A01CA" w:rsidRPr="004A01CA">
        <w:rPr>
          <w:lang w:val="en-GB"/>
        </w:rPr>
        <w:t xml:space="preserve"> and to promote awareness of it among all sectors of society, especially Members of Parliament, </w:t>
      </w:r>
      <w:r w:rsidR="0027378F">
        <w:rPr>
          <w:lang w:val="en-GB"/>
        </w:rPr>
        <w:t xml:space="preserve">the judiciary </w:t>
      </w:r>
      <w:r w:rsidR="004A01CA" w:rsidRPr="004A01CA">
        <w:rPr>
          <w:lang w:val="en-GB"/>
        </w:rPr>
        <w:t>and the civil service.</w:t>
      </w:r>
    </w:p>
    <w:p w14:paraId="44273BDE" w14:textId="77777777" w:rsidR="00DC5FB7" w:rsidRDefault="00FA0DAF" w:rsidP="000E0843">
      <w:pPr>
        <w:pStyle w:val="SingleTxt"/>
        <w:spacing w:after="130"/>
        <w:rPr>
          <w:lang w:val="en-GB"/>
        </w:rPr>
      </w:pPr>
      <w:r>
        <w:rPr>
          <w:lang w:val="en-GB"/>
        </w:rPr>
        <w:t>8.</w:t>
      </w:r>
      <w:r>
        <w:rPr>
          <w:lang w:val="en-GB"/>
        </w:rPr>
        <w:tab/>
      </w:r>
      <w:r w:rsidR="000C2CB6">
        <w:rPr>
          <w:lang w:val="en-GB"/>
        </w:rPr>
        <w:t xml:space="preserve">We </w:t>
      </w:r>
      <w:r w:rsidR="006C4EDA">
        <w:rPr>
          <w:lang w:val="en-GB"/>
        </w:rPr>
        <w:t xml:space="preserve">commit to </w:t>
      </w:r>
      <w:r w:rsidR="000C2CB6">
        <w:rPr>
          <w:lang w:val="en-GB"/>
        </w:rPr>
        <w:t>cooperate with indigenous peoples</w:t>
      </w:r>
      <w:r w:rsidR="006C4EDA">
        <w:rPr>
          <w:lang w:val="en-GB"/>
        </w:rPr>
        <w:t>,</w:t>
      </w:r>
      <w:r w:rsidR="000C2CB6">
        <w:rPr>
          <w:lang w:val="en-GB"/>
        </w:rPr>
        <w:t xml:space="preserve"> through their own representative institutions</w:t>
      </w:r>
      <w:r w:rsidR="007804A2">
        <w:rPr>
          <w:lang w:val="en-GB"/>
        </w:rPr>
        <w:t>,</w:t>
      </w:r>
      <w:r w:rsidR="006C4EDA">
        <w:rPr>
          <w:lang w:val="en-GB"/>
        </w:rPr>
        <w:t xml:space="preserve"> to prepare and implement </w:t>
      </w:r>
      <w:r w:rsidR="006C4EDA" w:rsidRPr="004A01CA">
        <w:rPr>
          <w:lang w:val="en-GB"/>
        </w:rPr>
        <w:t>national action plans</w:t>
      </w:r>
      <w:r w:rsidR="006C4EDA">
        <w:rPr>
          <w:lang w:val="en-GB"/>
        </w:rPr>
        <w:t xml:space="preserve"> </w:t>
      </w:r>
      <w:r w:rsidR="007804A2">
        <w:rPr>
          <w:lang w:val="en-GB"/>
        </w:rPr>
        <w:t xml:space="preserve">where relevant, </w:t>
      </w:r>
      <w:r w:rsidR="006C4EDA">
        <w:rPr>
          <w:lang w:val="en-GB"/>
        </w:rPr>
        <w:t>devoted to achieving the</w:t>
      </w:r>
      <w:r w:rsidR="006C4EDA" w:rsidRPr="004A01CA">
        <w:rPr>
          <w:lang w:val="en-GB"/>
        </w:rPr>
        <w:t xml:space="preserve"> </w:t>
      </w:r>
      <w:r w:rsidR="006C4EDA">
        <w:rPr>
          <w:lang w:val="en-GB"/>
        </w:rPr>
        <w:t xml:space="preserve">ends of </w:t>
      </w:r>
      <w:r w:rsidR="006C4EDA" w:rsidRPr="004A01CA">
        <w:rPr>
          <w:lang w:val="en-GB"/>
        </w:rPr>
        <w:t xml:space="preserve">the </w:t>
      </w:r>
      <w:r w:rsidR="006C4EDA" w:rsidRPr="00112469">
        <w:rPr>
          <w:lang w:val="en-GB"/>
        </w:rPr>
        <w:t>United Nations</w:t>
      </w:r>
      <w:r w:rsidR="006C4EDA">
        <w:rPr>
          <w:lang w:val="en-GB"/>
        </w:rPr>
        <w:t xml:space="preserve"> Declaration on the Rights of Indigenous Peoples</w:t>
      </w:r>
      <w:r>
        <w:rPr>
          <w:lang w:val="en-GB"/>
        </w:rPr>
        <w:t>.</w:t>
      </w:r>
    </w:p>
    <w:p w14:paraId="30309D26" w14:textId="77777777" w:rsidR="000C1342" w:rsidRDefault="00B04C7C" w:rsidP="000E0843">
      <w:pPr>
        <w:pStyle w:val="SingleTxt"/>
        <w:spacing w:after="130"/>
        <w:rPr>
          <w:lang w:val="en-GB"/>
        </w:rPr>
      </w:pPr>
      <w:r>
        <w:rPr>
          <w:lang w:val="en-GB"/>
        </w:rPr>
        <w:t>9.</w:t>
      </w:r>
      <w:r>
        <w:rPr>
          <w:lang w:val="en-GB"/>
        </w:rPr>
        <w:tab/>
      </w:r>
      <w:r w:rsidR="000C1342" w:rsidRPr="002D2234">
        <w:rPr>
          <w:lang w:val="en-GB"/>
        </w:rPr>
        <w:t>We commit to</w:t>
      </w:r>
      <w:r w:rsidR="007804A2">
        <w:rPr>
          <w:lang w:val="en-GB"/>
        </w:rPr>
        <w:t xml:space="preserve"> ensure that national action plans</w:t>
      </w:r>
      <w:r w:rsidR="000C1342" w:rsidRPr="002D2234">
        <w:rPr>
          <w:lang w:val="en-GB"/>
        </w:rPr>
        <w:t xml:space="preserve"> include specific measures to address the rights of indigenous persons with disabilities</w:t>
      </w:r>
      <w:r w:rsidR="000C1342">
        <w:rPr>
          <w:lang w:val="en-GB"/>
        </w:rPr>
        <w:t>. We will support</w:t>
      </w:r>
      <w:r w:rsidR="007804A2">
        <w:rPr>
          <w:lang w:val="en-GB"/>
        </w:rPr>
        <w:t>,</w:t>
      </w:r>
      <w:r>
        <w:rPr>
          <w:lang w:val="en-GB"/>
        </w:rPr>
        <w:t xml:space="preserve"> in collaboration with indigenous peoples the</w:t>
      </w:r>
      <w:r w:rsidR="007511A5">
        <w:rPr>
          <w:lang w:val="en-GB"/>
        </w:rPr>
        <w:t xml:space="preserve"> development of</w:t>
      </w:r>
      <w:r>
        <w:rPr>
          <w:lang w:val="en-GB"/>
        </w:rPr>
        <w:t xml:space="preserve"> capacity for </w:t>
      </w:r>
      <w:r w:rsidR="000C1342">
        <w:rPr>
          <w:lang w:val="en-GB"/>
        </w:rPr>
        <w:t>indigenous persons with disabilities</w:t>
      </w:r>
      <w:r>
        <w:rPr>
          <w:lang w:val="en-GB"/>
        </w:rPr>
        <w:t xml:space="preserve"> to effectively participate in</w:t>
      </w:r>
      <w:r w:rsidR="000C1342">
        <w:rPr>
          <w:lang w:val="en-GB"/>
        </w:rPr>
        <w:t xml:space="preserve"> the preparation and implementation of these action plans</w:t>
      </w:r>
      <w:r w:rsidR="007511A5">
        <w:rPr>
          <w:lang w:val="en-GB"/>
        </w:rPr>
        <w:t>, and ensure that legislative, policy and administrative structures related to indigenous peoples are inclusive of indigenous persons with disabilities</w:t>
      </w:r>
      <w:r w:rsidR="000C1342">
        <w:rPr>
          <w:lang w:val="en-GB"/>
        </w:rPr>
        <w:t>.</w:t>
      </w:r>
    </w:p>
    <w:p w14:paraId="54098B0D" w14:textId="77777777" w:rsidR="00DC5FB7" w:rsidRDefault="00FA0DAF" w:rsidP="000E0843">
      <w:pPr>
        <w:pStyle w:val="SingleTxt"/>
        <w:spacing w:after="130"/>
        <w:rPr>
          <w:lang w:val="en-GB"/>
        </w:rPr>
      </w:pPr>
      <w:r>
        <w:rPr>
          <w:lang w:val="en-GB"/>
        </w:rPr>
        <w:t>10.</w:t>
      </w:r>
      <w:r>
        <w:rPr>
          <w:lang w:val="en-GB"/>
        </w:rPr>
        <w:tab/>
      </w:r>
      <w:r w:rsidR="00A500B4">
        <w:rPr>
          <w:lang w:val="en-GB"/>
        </w:rPr>
        <w:t>We c</w:t>
      </w:r>
      <w:r w:rsidR="006C4889">
        <w:rPr>
          <w:lang w:val="en-GB"/>
        </w:rPr>
        <w:t>ommit</w:t>
      </w:r>
      <w:r w:rsidR="00C60594">
        <w:rPr>
          <w:lang w:val="en-GB"/>
        </w:rPr>
        <w:t xml:space="preserve"> to</w:t>
      </w:r>
      <w:r w:rsidR="00545302">
        <w:rPr>
          <w:lang w:val="en-GB"/>
        </w:rPr>
        <w:t xml:space="preserve"> empower,</w:t>
      </w:r>
      <w:r w:rsidR="00A500B4">
        <w:rPr>
          <w:lang w:val="en-GB"/>
        </w:rPr>
        <w:t xml:space="preserve"> </w:t>
      </w:r>
      <w:r w:rsidR="00C60594">
        <w:rPr>
          <w:lang w:val="en-GB"/>
        </w:rPr>
        <w:t>cooperate</w:t>
      </w:r>
      <w:r w:rsidR="00A500B4">
        <w:rPr>
          <w:lang w:val="en-GB"/>
        </w:rPr>
        <w:t xml:space="preserve"> </w:t>
      </w:r>
      <w:r w:rsidR="00C60594">
        <w:rPr>
          <w:lang w:val="en-GB"/>
        </w:rPr>
        <w:t xml:space="preserve">and coordinate </w:t>
      </w:r>
      <w:r w:rsidR="00A500B4">
        <w:rPr>
          <w:lang w:val="en-GB"/>
        </w:rPr>
        <w:t xml:space="preserve">with </w:t>
      </w:r>
      <w:r w:rsidR="006C4889">
        <w:rPr>
          <w:lang w:val="en-GB"/>
        </w:rPr>
        <w:t>indigenous peoples</w:t>
      </w:r>
      <w:r w:rsidR="00C60594">
        <w:rPr>
          <w:lang w:val="en-GB"/>
        </w:rPr>
        <w:t xml:space="preserve"> to disaggregate data and utilise cultural</w:t>
      </w:r>
      <w:r w:rsidR="00545302">
        <w:rPr>
          <w:lang w:val="en-GB"/>
        </w:rPr>
        <w:t>ly appropriate</w:t>
      </w:r>
      <w:r w:rsidR="00C60594">
        <w:rPr>
          <w:lang w:val="en-GB"/>
        </w:rPr>
        <w:t xml:space="preserve"> indicators</w:t>
      </w:r>
      <w:r w:rsidR="00545302">
        <w:rPr>
          <w:lang w:val="en-GB"/>
        </w:rPr>
        <w:t xml:space="preserve"> of indigenous peoples’ well-being</w:t>
      </w:r>
      <w:r w:rsidR="00C60594" w:rsidRPr="004A01CA">
        <w:rPr>
          <w:lang w:val="en-GB"/>
        </w:rPr>
        <w:t xml:space="preserve"> </w:t>
      </w:r>
      <w:r w:rsidR="006C4889">
        <w:rPr>
          <w:lang w:val="en-GB"/>
        </w:rPr>
        <w:t>to address</w:t>
      </w:r>
      <w:r w:rsidR="00A500B4" w:rsidRPr="004A01CA">
        <w:rPr>
          <w:lang w:val="en-GB"/>
        </w:rPr>
        <w:t xml:space="preserve"> the situation </w:t>
      </w:r>
      <w:r w:rsidR="006C4889">
        <w:rPr>
          <w:lang w:val="en-GB"/>
        </w:rPr>
        <w:t xml:space="preserve">and needs </w:t>
      </w:r>
      <w:r w:rsidR="00A500B4" w:rsidRPr="004A01CA">
        <w:rPr>
          <w:lang w:val="en-GB"/>
        </w:rPr>
        <w:t xml:space="preserve">of indigenous </w:t>
      </w:r>
      <w:r w:rsidR="006C4889">
        <w:rPr>
          <w:lang w:val="en-GB"/>
        </w:rPr>
        <w:t>peoples</w:t>
      </w:r>
      <w:r w:rsidR="00545302">
        <w:rPr>
          <w:lang w:val="en-GB"/>
        </w:rPr>
        <w:t xml:space="preserve"> and individuals</w:t>
      </w:r>
      <w:r w:rsidR="006C4889">
        <w:rPr>
          <w:lang w:val="en-GB"/>
        </w:rPr>
        <w:t xml:space="preserve">, particularly </w:t>
      </w:r>
      <w:r w:rsidR="00A500B4" w:rsidRPr="004A01CA">
        <w:rPr>
          <w:lang w:val="en-GB"/>
        </w:rPr>
        <w:t xml:space="preserve">elders, women, youth, </w:t>
      </w:r>
      <w:r w:rsidR="00A500B4" w:rsidRPr="00242717">
        <w:rPr>
          <w:lang w:val="en-GB"/>
        </w:rPr>
        <w:t>children and persons with disabilities.</w:t>
      </w:r>
      <w:r w:rsidR="00CF37E1" w:rsidRPr="00242717">
        <w:rPr>
          <w:lang w:val="en-GB"/>
        </w:rPr>
        <w:t xml:space="preserve"> </w:t>
      </w:r>
    </w:p>
    <w:p w14:paraId="0D28602C" w14:textId="77777777" w:rsidR="00DC5FB7" w:rsidRPr="000E0843" w:rsidRDefault="00434CD9" w:rsidP="000E0843">
      <w:pPr>
        <w:pStyle w:val="SingleTxt"/>
        <w:spacing w:after="130"/>
        <w:rPr>
          <w:lang w:val="en-GB"/>
        </w:rPr>
      </w:pPr>
      <w:r>
        <w:rPr>
          <w:lang w:val="en-GB"/>
        </w:rPr>
        <w:t>11.</w:t>
      </w:r>
      <w:r>
        <w:rPr>
          <w:lang w:val="en-GB"/>
        </w:rPr>
        <w:tab/>
      </w:r>
      <w:r w:rsidR="00EA3C2F">
        <w:rPr>
          <w:lang w:val="en-GB"/>
        </w:rPr>
        <w:t>We commit,</w:t>
      </w:r>
      <w:r w:rsidR="00D57B06" w:rsidRPr="00D57B06">
        <w:rPr>
          <w:lang w:val="en-GB"/>
        </w:rPr>
        <w:t xml:space="preserve"> with the full, equal and effect</w:t>
      </w:r>
      <w:r w:rsidR="00EA3C2F">
        <w:rPr>
          <w:lang w:val="en-GB"/>
        </w:rPr>
        <w:t xml:space="preserve">ive participation of Indigenous </w:t>
      </w:r>
      <w:r w:rsidR="00D57B06" w:rsidRPr="00D57B06">
        <w:rPr>
          <w:lang w:val="en-GB"/>
        </w:rPr>
        <w:t>Peoples</w:t>
      </w:r>
      <w:r w:rsidR="00EA3C2F">
        <w:rPr>
          <w:lang w:val="en-GB"/>
        </w:rPr>
        <w:t xml:space="preserve">, to </w:t>
      </w:r>
      <w:r w:rsidR="00D57B06" w:rsidRPr="00D57B06">
        <w:rPr>
          <w:lang w:val="en-GB"/>
        </w:rPr>
        <w:t>provide adequate resources that enable the empowerment of</w:t>
      </w:r>
      <w:r w:rsidR="00EA3C2F">
        <w:rPr>
          <w:lang w:val="en-GB"/>
        </w:rPr>
        <w:t xml:space="preserve"> </w:t>
      </w:r>
      <w:r w:rsidR="00D57B06" w:rsidRPr="00D57B06">
        <w:rPr>
          <w:lang w:val="en-GB"/>
        </w:rPr>
        <w:t>Indigenous</w:t>
      </w:r>
      <w:r w:rsidR="00EA3C2F">
        <w:rPr>
          <w:lang w:val="en-GB"/>
        </w:rPr>
        <w:t xml:space="preserve"> </w:t>
      </w:r>
      <w:r w:rsidR="00D57B06" w:rsidRPr="00D57B06">
        <w:rPr>
          <w:lang w:val="en-GB"/>
        </w:rPr>
        <w:t>Peoples</w:t>
      </w:r>
      <w:r w:rsidR="00EA3C2F">
        <w:rPr>
          <w:lang w:val="en-GB"/>
        </w:rPr>
        <w:t xml:space="preserve"> </w:t>
      </w:r>
      <w:r w:rsidR="00D57B06" w:rsidRPr="00D57B06">
        <w:rPr>
          <w:lang w:val="en-GB"/>
        </w:rPr>
        <w:t>to deliver</w:t>
      </w:r>
      <w:r w:rsidR="00EA3C2F">
        <w:rPr>
          <w:lang w:val="en-GB"/>
        </w:rPr>
        <w:t xml:space="preserve"> </w:t>
      </w:r>
      <w:r w:rsidR="00D57B06" w:rsidRPr="00D57B06">
        <w:rPr>
          <w:lang w:val="en-GB"/>
        </w:rPr>
        <w:t>and have access to high quality and culturally based education, health</w:t>
      </w:r>
      <w:r>
        <w:rPr>
          <w:lang w:val="en-GB"/>
        </w:rPr>
        <w:t>,</w:t>
      </w:r>
      <w:r w:rsidR="00D57B06" w:rsidRPr="00D57B06">
        <w:rPr>
          <w:lang w:val="en-GB"/>
        </w:rPr>
        <w:t xml:space="preserve"> housing </w:t>
      </w:r>
      <w:r>
        <w:rPr>
          <w:lang w:val="en-GB"/>
        </w:rPr>
        <w:t xml:space="preserve">and other economic and social programmes </w:t>
      </w:r>
      <w:r w:rsidR="00D57B06" w:rsidRPr="00D57B06">
        <w:rPr>
          <w:lang w:val="en-GB"/>
        </w:rPr>
        <w:t>to improve the</w:t>
      </w:r>
      <w:r>
        <w:rPr>
          <w:lang w:val="en-GB"/>
        </w:rPr>
        <w:t>ir well-being.</w:t>
      </w:r>
    </w:p>
    <w:p w14:paraId="60FE216B" w14:textId="77777777" w:rsidR="00DC5FB7" w:rsidRPr="000E0843" w:rsidRDefault="00FA0DAF" w:rsidP="000E0843">
      <w:pPr>
        <w:pStyle w:val="SingleTxt"/>
        <w:spacing w:after="130"/>
        <w:rPr>
          <w:lang w:val="en-GB"/>
        </w:rPr>
      </w:pPr>
      <w:r>
        <w:rPr>
          <w:lang w:val="en-GB"/>
        </w:rPr>
        <w:t>12.</w:t>
      </w:r>
      <w:r>
        <w:rPr>
          <w:lang w:val="en-GB"/>
        </w:rPr>
        <w:tab/>
      </w:r>
      <w:r w:rsidR="00242717" w:rsidRPr="00242717">
        <w:rPr>
          <w:lang w:val="en-GB"/>
        </w:rPr>
        <w:t>We commit to ensure that indigenous</w:t>
      </w:r>
      <w:r w:rsidR="00DA3BF7">
        <w:rPr>
          <w:lang w:val="en-GB"/>
        </w:rPr>
        <w:t xml:space="preserve"> peoples and</w:t>
      </w:r>
      <w:r w:rsidR="00242717" w:rsidRPr="00242717">
        <w:rPr>
          <w:lang w:val="en-GB"/>
        </w:rPr>
        <w:t xml:space="preserve"> </w:t>
      </w:r>
      <w:r w:rsidR="00611ED0">
        <w:rPr>
          <w:lang w:val="en-GB"/>
        </w:rPr>
        <w:t>individuals</w:t>
      </w:r>
      <w:r w:rsidR="00611ED0" w:rsidRPr="00242717">
        <w:rPr>
          <w:lang w:val="en-GB"/>
        </w:rPr>
        <w:t xml:space="preserve"> </w:t>
      </w:r>
      <w:r w:rsidR="00242717" w:rsidRPr="00242717">
        <w:rPr>
          <w:lang w:val="en-GB"/>
        </w:rPr>
        <w:t>enjoy the highest attainable standard of physical</w:t>
      </w:r>
      <w:r w:rsidR="000C4A1D">
        <w:rPr>
          <w:lang w:val="en-GB"/>
        </w:rPr>
        <w:t>,</w:t>
      </w:r>
      <w:r w:rsidR="00242717" w:rsidRPr="00242717">
        <w:rPr>
          <w:lang w:val="en-GB"/>
        </w:rPr>
        <w:t xml:space="preserve"> mental</w:t>
      </w:r>
      <w:r w:rsidR="000C4A1D">
        <w:rPr>
          <w:lang w:val="en-GB"/>
        </w:rPr>
        <w:t xml:space="preserve"> and spiritual</w:t>
      </w:r>
      <w:r w:rsidR="00242717" w:rsidRPr="00242717">
        <w:rPr>
          <w:lang w:val="en-GB"/>
        </w:rPr>
        <w:t xml:space="preserve"> health</w:t>
      </w:r>
      <w:r w:rsidR="00594A7E">
        <w:rPr>
          <w:lang w:val="en-GB"/>
        </w:rPr>
        <w:t>. We will</w:t>
      </w:r>
      <w:r w:rsidR="00242717" w:rsidRPr="00242717">
        <w:rPr>
          <w:lang w:val="en-GB"/>
        </w:rPr>
        <w:t xml:space="preserve"> </w:t>
      </w:r>
      <w:r w:rsidR="00545302">
        <w:rPr>
          <w:lang w:val="en-GB"/>
        </w:rPr>
        <w:t>improv</w:t>
      </w:r>
      <w:r w:rsidR="001F6035">
        <w:rPr>
          <w:lang w:val="en-GB"/>
        </w:rPr>
        <w:t>e</w:t>
      </w:r>
      <w:r w:rsidR="00545302">
        <w:rPr>
          <w:lang w:val="en-GB"/>
        </w:rPr>
        <w:t xml:space="preserve"> access</w:t>
      </w:r>
      <w:r w:rsidR="00EF544C">
        <w:rPr>
          <w:lang w:val="en-GB"/>
        </w:rPr>
        <w:t xml:space="preserve"> to </w:t>
      </w:r>
      <w:r w:rsidR="00242717" w:rsidRPr="00242717">
        <w:rPr>
          <w:lang w:val="en-GB"/>
        </w:rPr>
        <w:t>sexual and reproductive health</w:t>
      </w:r>
      <w:r w:rsidR="00594A7E">
        <w:rPr>
          <w:lang w:val="en-GB"/>
        </w:rPr>
        <w:t xml:space="preserve"> and</w:t>
      </w:r>
      <w:r w:rsidR="00242717" w:rsidRPr="00242717">
        <w:rPr>
          <w:lang w:val="en-GB"/>
        </w:rPr>
        <w:t xml:space="preserve"> </w:t>
      </w:r>
      <w:r w:rsidR="00545302">
        <w:rPr>
          <w:lang w:val="en-GB"/>
        </w:rPr>
        <w:t>reduc</w:t>
      </w:r>
      <w:r w:rsidR="001F6035">
        <w:rPr>
          <w:lang w:val="en-GB"/>
        </w:rPr>
        <w:t>e</w:t>
      </w:r>
      <w:r w:rsidR="00545302">
        <w:rPr>
          <w:lang w:val="en-GB"/>
        </w:rPr>
        <w:t xml:space="preserve"> rates of </w:t>
      </w:r>
      <w:r w:rsidR="00242717" w:rsidRPr="00242717">
        <w:rPr>
          <w:lang w:val="en-GB"/>
        </w:rPr>
        <w:t>HIV</w:t>
      </w:r>
      <w:r w:rsidR="00594A7E">
        <w:rPr>
          <w:lang w:val="en-GB"/>
        </w:rPr>
        <w:t>/</w:t>
      </w:r>
      <w:r w:rsidR="00545302">
        <w:rPr>
          <w:lang w:val="en-GB"/>
        </w:rPr>
        <w:t>AIDS, malaria</w:t>
      </w:r>
      <w:r w:rsidR="009E458E">
        <w:rPr>
          <w:lang w:val="en-GB"/>
        </w:rPr>
        <w:t>,</w:t>
      </w:r>
      <w:r w:rsidR="00242717" w:rsidRPr="00242717">
        <w:rPr>
          <w:lang w:val="en-GB"/>
        </w:rPr>
        <w:t xml:space="preserve"> and non-communicable diseases</w:t>
      </w:r>
      <w:r w:rsidR="009E458E">
        <w:rPr>
          <w:lang w:val="en-GB"/>
        </w:rPr>
        <w:t>,</w:t>
      </w:r>
      <w:r w:rsidR="00242717" w:rsidRPr="00242717">
        <w:rPr>
          <w:lang w:val="en-GB"/>
        </w:rPr>
        <w:t xml:space="preserve"> </w:t>
      </w:r>
      <w:r w:rsidR="00594A7E">
        <w:rPr>
          <w:lang w:val="en-GB"/>
        </w:rPr>
        <w:t>by increasing</w:t>
      </w:r>
      <w:r w:rsidR="00242717">
        <w:rPr>
          <w:lang w:val="en-GB"/>
        </w:rPr>
        <w:t xml:space="preserve"> resources</w:t>
      </w:r>
      <w:r w:rsidR="00545302">
        <w:rPr>
          <w:lang w:val="en-GB"/>
        </w:rPr>
        <w:t xml:space="preserve"> </w:t>
      </w:r>
      <w:r w:rsidR="001F6035">
        <w:rPr>
          <w:lang w:val="en-GB"/>
        </w:rPr>
        <w:t>and</w:t>
      </w:r>
      <w:r w:rsidR="00594A7E">
        <w:rPr>
          <w:lang w:val="en-GB"/>
        </w:rPr>
        <w:t xml:space="preserve"> focusing on</w:t>
      </w:r>
      <w:r w:rsidR="00545302">
        <w:rPr>
          <w:lang w:val="en-GB"/>
        </w:rPr>
        <w:t xml:space="preserve"> prevention</w:t>
      </w:r>
      <w:r w:rsidR="00594A7E">
        <w:rPr>
          <w:lang w:val="en-GB"/>
        </w:rPr>
        <w:t>.</w:t>
      </w:r>
      <w:r w:rsidR="00545302">
        <w:rPr>
          <w:lang w:val="en-GB"/>
        </w:rPr>
        <w:t xml:space="preserve"> </w:t>
      </w:r>
      <w:r w:rsidR="00594A7E">
        <w:rPr>
          <w:lang w:val="en-GB"/>
        </w:rPr>
        <w:t>We will</w:t>
      </w:r>
      <w:r w:rsidR="00545302">
        <w:rPr>
          <w:lang w:val="en-GB"/>
        </w:rPr>
        <w:t xml:space="preserve"> </w:t>
      </w:r>
      <w:r w:rsidR="00594A7E">
        <w:rPr>
          <w:lang w:val="en-GB"/>
        </w:rPr>
        <w:t xml:space="preserve">also </w:t>
      </w:r>
      <w:r w:rsidR="00545302">
        <w:rPr>
          <w:lang w:val="en-GB"/>
        </w:rPr>
        <w:t>respect indigenous peoples’ traditional health</w:t>
      </w:r>
      <w:r w:rsidR="00594A7E">
        <w:rPr>
          <w:lang w:val="en-GB"/>
        </w:rPr>
        <w:t xml:space="preserve"> practices,</w:t>
      </w:r>
      <w:r w:rsidR="00545302">
        <w:rPr>
          <w:lang w:val="en-GB"/>
        </w:rPr>
        <w:t xml:space="preserve"> sciences and medicines</w:t>
      </w:r>
      <w:r w:rsidR="00242717">
        <w:rPr>
          <w:lang w:val="en-GB"/>
        </w:rPr>
        <w:t xml:space="preserve">. </w:t>
      </w:r>
    </w:p>
    <w:p w14:paraId="1054F0DF" w14:textId="77777777" w:rsidR="00DC5FB7" w:rsidRDefault="00DC5FB7" w:rsidP="000E0843">
      <w:pPr>
        <w:pStyle w:val="SingleTxt"/>
        <w:spacing w:after="130"/>
        <w:rPr>
          <w:lang w:val="en-GB"/>
        </w:rPr>
      </w:pPr>
    </w:p>
    <w:p w14:paraId="25A95D2D" w14:textId="77777777" w:rsidR="00DC5FB7" w:rsidRDefault="00FA0DAF" w:rsidP="000E0843">
      <w:pPr>
        <w:pStyle w:val="SingleTxt"/>
        <w:spacing w:after="130"/>
        <w:rPr>
          <w:lang w:val="en-GB"/>
        </w:rPr>
      </w:pPr>
      <w:r>
        <w:rPr>
          <w:lang w:val="en-GB"/>
        </w:rPr>
        <w:lastRenderedPageBreak/>
        <w:t>13.</w:t>
      </w:r>
      <w:r>
        <w:rPr>
          <w:lang w:val="en-GB"/>
        </w:rPr>
        <w:tab/>
      </w:r>
      <w:r w:rsidR="00FF1D70" w:rsidRPr="000E0843">
        <w:rPr>
          <w:lang w:val="en-GB"/>
        </w:rPr>
        <w:t xml:space="preserve">We </w:t>
      </w:r>
      <w:r w:rsidR="00AC3871">
        <w:rPr>
          <w:lang w:val="en-GB"/>
        </w:rPr>
        <w:t>will</w:t>
      </w:r>
      <w:r w:rsidR="00FF1D70" w:rsidRPr="000E0843">
        <w:rPr>
          <w:lang w:val="en-GB"/>
        </w:rPr>
        <w:t xml:space="preserve"> suppo</w:t>
      </w:r>
      <w:r w:rsidR="007804A2">
        <w:rPr>
          <w:lang w:val="en-GB"/>
        </w:rPr>
        <w:t>rt the empowerment and capacity-</w:t>
      </w:r>
      <w:r w:rsidR="00FF1D70" w:rsidRPr="000E0843">
        <w:rPr>
          <w:lang w:val="en-GB"/>
        </w:rPr>
        <w:t xml:space="preserve">building of Indigenous </w:t>
      </w:r>
      <w:r w:rsidR="006A5137">
        <w:rPr>
          <w:lang w:val="en-GB"/>
        </w:rPr>
        <w:t>y</w:t>
      </w:r>
      <w:r w:rsidR="00FF1D70" w:rsidRPr="000E0843">
        <w:rPr>
          <w:lang w:val="en-GB"/>
        </w:rPr>
        <w:t xml:space="preserve">outh </w:t>
      </w:r>
      <w:r w:rsidR="007804A2">
        <w:rPr>
          <w:lang w:val="en-GB"/>
        </w:rPr>
        <w:t xml:space="preserve">for participation </w:t>
      </w:r>
      <w:r w:rsidR="006A5137" w:rsidRPr="00FE088C">
        <w:rPr>
          <w:lang w:val="en-GB"/>
        </w:rPr>
        <w:t>in decision making processes</w:t>
      </w:r>
      <w:r w:rsidR="006A5137">
        <w:rPr>
          <w:lang w:val="en-GB"/>
        </w:rPr>
        <w:t>. We commit to develo</w:t>
      </w:r>
      <w:r w:rsidR="00AC3871">
        <w:rPr>
          <w:lang w:val="en-GB"/>
        </w:rPr>
        <w:t>p, in consultation with indigenous peoples, p</w:t>
      </w:r>
      <w:r w:rsidR="00FF1D70" w:rsidRPr="000E0843">
        <w:rPr>
          <w:lang w:val="en-GB"/>
        </w:rPr>
        <w:t xml:space="preserve">olicies, programmes and resources </w:t>
      </w:r>
      <w:r w:rsidR="006A5137">
        <w:rPr>
          <w:lang w:val="en-GB"/>
        </w:rPr>
        <w:t>for</w:t>
      </w:r>
      <w:r w:rsidR="00FF1D70" w:rsidRPr="000E0843">
        <w:rPr>
          <w:lang w:val="en-GB"/>
        </w:rPr>
        <w:t xml:space="preserve"> indigenous youth </w:t>
      </w:r>
      <w:r w:rsidR="00AC3871">
        <w:rPr>
          <w:lang w:val="en-GB"/>
        </w:rPr>
        <w:t>that</w:t>
      </w:r>
      <w:r w:rsidR="00FF1D70" w:rsidRPr="000E0843">
        <w:rPr>
          <w:lang w:val="en-GB"/>
        </w:rPr>
        <w:t xml:space="preserve"> </w:t>
      </w:r>
      <w:r w:rsidR="006A5137">
        <w:rPr>
          <w:lang w:val="en-GB"/>
        </w:rPr>
        <w:t>prioritise awareness and</w:t>
      </w:r>
      <w:r w:rsidR="006A5137" w:rsidRPr="00FE088C">
        <w:rPr>
          <w:lang w:val="en-GB"/>
        </w:rPr>
        <w:t xml:space="preserve"> understanding of their rights</w:t>
      </w:r>
      <w:r w:rsidR="006A5137">
        <w:rPr>
          <w:lang w:val="en-GB"/>
        </w:rPr>
        <w:t>,</w:t>
      </w:r>
      <w:r w:rsidR="006A5137" w:rsidRPr="00FE088C">
        <w:rPr>
          <w:lang w:val="en-GB"/>
        </w:rPr>
        <w:t xml:space="preserve"> </w:t>
      </w:r>
      <w:r w:rsidR="00FF1D70" w:rsidRPr="000E0843">
        <w:rPr>
          <w:lang w:val="en-GB"/>
        </w:rPr>
        <w:t xml:space="preserve">health, education </w:t>
      </w:r>
      <w:r w:rsidR="006A5137">
        <w:rPr>
          <w:lang w:val="en-GB"/>
        </w:rPr>
        <w:t>and</w:t>
      </w:r>
      <w:r w:rsidR="00FF1D70" w:rsidRPr="000E0843">
        <w:rPr>
          <w:lang w:val="en-GB"/>
        </w:rPr>
        <w:t xml:space="preserve"> transmission of traditional knowledge, languages and practices.</w:t>
      </w:r>
      <w:r w:rsidR="00F87CBE" w:rsidDel="00F87CBE">
        <w:rPr>
          <w:lang w:val="en-GB"/>
        </w:rPr>
        <w:t xml:space="preserve"> </w:t>
      </w:r>
    </w:p>
    <w:p w14:paraId="6D6849BB" w14:textId="77777777" w:rsidR="00DC5FB7" w:rsidRPr="000E0843" w:rsidRDefault="00FA0DAF" w:rsidP="000E0843">
      <w:pPr>
        <w:pStyle w:val="SingleTxt"/>
        <w:spacing w:after="130"/>
        <w:rPr>
          <w:lang w:val="en-GB"/>
        </w:rPr>
      </w:pPr>
      <w:r>
        <w:rPr>
          <w:lang w:val="en-GB"/>
        </w:rPr>
        <w:t>14.</w:t>
      </w:r>
      <w:r>
        <w:rPr>
          <w:lang w:val="en-GB"/>
        </w:rPr>
        <w:tab/>
      </w:r>
      <w:r w:rsidR="00C67A9D">
        <w:rPr>
          <w:lang w:val="en-GB"/>
        </w:rPr>
        <w:t>W</w:t>
      </w:r>
      <w:r w:rsidR="009256FF">
        <w:rPr>
          <w:lang w:val="en-GB"/>
        </w:rPr>
        <w:t>e a</w:t>
      </w:r>
      <w:r w:rsidR="004A01CA" w:rsidRPr="004A01CA">
        <w:rPr>
          <w:lang w:val="en-GB"/>
        </w:rPr>
        <w:t xml:space="preserve">cknowledge that indigenous peoples’ justice </w:t>
      </w:r>
      <w:r w:rsidR="00C67A9D">
        <w:rPr>
          <w:lang w:val="en-GB"/>
        </w:rPr>
        <w:t>institutions</w:t>
      </w:r>
      <w:r w:rsidR="00C67A9D" w:rsidRPr="004A01CA">
        <w:rPr>
          <w:lang w:val="en-GB"/>
        </w:rPr>
        <w:t xml:space="preserve"> </w:t>
      </w:r>
      <w:r w:rsidR="004A01CA" w:rsidRPr="004A01CA">
        <w:rPr>
          <w:lang w:val="en-GB"/>
        </w:rPr>
        <w:t>can play a positive role in dispute resolution and contribute to harmonious relationships within indigenous peoples’ communities and within society</w:t>
      </w:r>
      <w:r w:rsidR="00807704">
        <w:rPr>
          <w:lang w:val="en-GB"/>
        </w:rPr>
        <w:t>,</w:t>
      </w:r>
      <w:r w:rsidR="00BE3672">
        <w:rPr>
          <w:lang w:val="en-GB"/>
        </w:rPr>
        <w:t xml:space="preserve"> </w:t>
      </w:r>
      <w:r w:rsidR="006C2574">
        <w:rPr>
          <w:lang w:val="en-GB"/>
        </w:rPr>
        <w:t xml:space="preserve">consistent </w:t>
      </w:r>
      <w:r w:rsidR="00BE3672">
        <w:rPr>
          <w:lang w:val="en-GB"/>
        </w:rPr>
        <w:t xml:space="preserve">with international human rights </w:t>
      </w:r>
      <w:r w:rsidR="00AC3871">
        <w:rPr>
          <w:lang w:val="en-GB"/>
        </w:rPr>
        <w:t xml:space="preserve">norms, </w:t>
      </w:r>
      <w:r w:rsidR="00BE3672">
        <w:rPr>
          <w:lang w:val="en-GB"/>
        </w:rPr>
        <w:t>standards</w:t>
      </w:r>
      <w:r w:rsidR="00AC3871">
        <w:rPr>
          <w:lang w:val="en-GB"/>
        </w:rPr>
        <w:t xml:space="preserve"> and principles</w:t>
      </w:r>
      <w:r w:rsidR="004A01CA" w:rsidRPr="004A01CA">
        <w:rPr>
          <w:lang w:val="en-GB"/>
        </w:rPr>
        <w:t xml:space="preserve">. </w:t>
      </w:r>
      <w:r w:rsidR="00B61F5D">
        <w:rPr>
          <w:lang w:val="en-GB"/>
        </w:rPr>
        <w:t>We c</w:t>
      </w:r>
      <w:r w:rsidR="00B61F5D" w:rsidRPr="004A01CA">
        <w:rPr>
          <w:lang w:val="en-GB"/>
        </w:rPr>
        <w:t>ommit to coordination and dialogue with indigenous peoples’ justice institutions</w:t>
      </w:r>
      <w:r w:rsidR="00B54FEF">
        <w:rPr>
          <w:lang w:val="en-GB"/>
        </w:rPr>
        <w:t>.</w:t>
      </w:r>
      <w:r w:rsidR="00B61F5D">
        <w:rPr>
          <w:lang w:val="en-GB"/>
        </w:rPr>
        <w:t xml:space="preserve"> </w:t>
      </w:r>
    </w:p>
    <w:p w14:paraId="54E18896" w14:textId="77777777" w:rsidR="00DC5FB7" w:rsidRDefault="00B54FEF" w:rsidP="000E0843">
      <w:pPr>
        <w:pStyle w:val="SingleTxt"/>
        <w:spacing w:after="130"/>
        <w:rPr>
          <w:lang w:val="en-GB"/>
        </w:rPr>
      </w:pPr>
      <w:r>
        <w:rPr>
          <w:lang w:val="en-GB"/>
        </w:rPr>
        <w:t>1</w:t>
      </w:r>
      <w:r w:rsidR="00876AC3">
        <w:rPr>
          <w:lang w:val="en-GB"/>
        </w:rPr>
        <w:t>5</w:t>
      </w:r>
      <w:r w:rsidR="00FA0DAF">
        <w:rPr>
          <w:lang w:val="en-GB"/>
        </w:rPr>
        <w:t>.</w:t>
      </w:r>
      <w:r w:rsidR="00FA0DAF">
        <w:rPr>
          <w:lang w:val="en-GB"/>
        </w:rPr>
        <w:tab/>
      </w:r>
      <w:r w:rsidR="00545302">
        <w:rPr>
          <w:lang w:val="en-GB"/>
        </w:rPr>
        <w:t>We commit to support the empowerment of indigenous women</w:t>
      </w:r>
      <w:r>
        <w:rPr>
          <w:lang w:val="en-GB"/>
        </w:rPr>
        <w:t>.</w:t>
      </w:r>
      <w:r w:rsidR="00545302">
        <w:rPr>
          <w:lang w:val="en-GB"/>
        </w:rPr>
        <w:t xml:space="preserve"> </w:t>
      </w:r>
      <w:r>
        <w:rPr>
          <w:lang w:val="en-GB"/>
        </w:rPr>
        <w:t>We will formulate and implement, in collaboration with indigenous peoples, particularly indigenous women and their organizations, policies and programmes designed to promote capacity-building and strengthen their leadership. We will support measures which will ensure full and effective participation of indigenous women in decision making processes at all levels and in all areas, and eliminate barriers for their participation in political, economic, social and cultural life.</w:t>
      </w:r>
    </w:p>
    <w:p w14:paraId="6B41D3DB" w14:textId="77777777" w:rsidR="00DC5FB7" w:rsidRPr="00C40205" w:rsidRDefault="00876AC3" w:rsidP="000E0843">
      <w:pPr>
        <w:pStyle w:val="SingleTxt"/>
        <w:spacing w:after="130"/>
        <w:rPr>
          <w:lang w:val="en-GB"/>
        </w:rPr>
      </w:pPr>
      <w:r>
        <w:rPr>
          <w:lang w:val="en-GB"/>
        </w:rPr>
        <w:t>16</w:t>
      </w:r>
      <w:r w:rsidR="00FA0DAF">
        <w:rPr>
          <w:lang w:val="en-GB"/>
        </w:rPr>
        <w:t>.</w:t>
      </w:r>
      <w:r w:rsidR="00FA0DAF">
        <w:rPr>
          <w:lang w:val="en-GB"/>
        </w:rPr>
        <w:tab/>
      </w:r>
      <w:r w:rsidR="001B2994">
        <w:rPr>
          <w:lang w:val="en-GB"/>
        </w:rPr>
        <w:t xml:space="preserve">We </w:t>
      </w:r>
      <w:r w:rsidR="000C43AF">
        <w:rPr>
          <w:lang w:val="en-GB"/>
        </w:rPr>
        <w:t>will increase</w:t>
      </w:r>
      <w:r w:rsidR="007671B6">
        <w:rPr>
          <w:lang w:val="en-GB"/>
        </w:rPr>
        <w:t>,</w:t>
      </w:r>
      <w:r w:rsidR="000C43AF">
        <w:rPr>
          <w:lang w:val="en-GB"/>
        </w:rPr>
        <w:t xml:space="preserve"> as a matter of priority, in cooperation with indigenous peoples, our efforts</w:t>
      </w:r>
      <w:r w:rsidR="001B2994">
        <w:rPr>
          <w:lang w:val="en-GB"/>
        </w:rPr>
        <w:t xml:space="preserve"> to prevent and eliminate all forms of violence and discrimination against indigenous</w:t>
      </w:r>
      <w:r w:rsidR="008062E7">
        <w:rPr>
          <w:lang w:val="en-GB"/>
        </w:rPr>
        <w:t xml:space="preserve"> peoples and individuals, in particular, violence against</w:t>
      </w:r>
      <w:r w:rsidR="001B2994">
        <w:rPr>
          <w:lang w:val="en-GB"/>
        </w:rPr>
        <w:t xml:space="preserve"> women, youth and children</w:t>
      </w:r>
      <w:r w:rsidR="00242717">
        <w:rPr>
          <w:lang w:val="en-GB"/>
        </w:rPr>
        <w:t>,</w:t>
      </w:r>
      <w:r w:rsidR="00893237">
        <w:rPr>
          <w:lang w:val="en-GB"/>
        </w:rPr>
        <w:t xml:space="preserve"> </w:t>
      </w:r>
      <w:r w:rsidR="00242717">
        <w:rPr>
          <w:lang w:val="en-GB"/>
        </w:rPr>
        <w:t>by strengthening legal, policy and institutional frameworks</w:t>
      </w:r>
      <w:r w:rsidR="00DD7261">
        <w:rPr>
          <w:lang w:val="en-GB"/>
        </w:rPr>
        <w:t>.</w:t>
      </w:r>
      <w:r w:rsidR="00CF37E1">
        <w:rPr>
          <w:lang w:val="en-GB"/>
        </w:rPr>
        <w:t xml:space="preserve"> </w:t>
      </w:r>
    </w:p>
    <w:p w14:paraId="576971F1" w14:textId="77777777" w:rsidR="00DC5FB7" w:rsidRDefault="00FA0DAF" w:rsidP="000E0843">
      <w:pPr>
        <w:pStyle w:val="SingleTxt"/>
        <w:spacing w:after="130"/>
        <w:rPr>
          <w:lang w:val="en-GB"/>
        </w:rPr>
      </w:pPr>
      <w:r>
        <w:rPr>
          <w:lang w:val="en-GB"/>
        </w:rPr>
        <w:t>1</w:t>
      </w:r>
      <w:r w:rsidR="00876AC3">
        <w:rPr>
          <w:lang w:val="en-GB"/>
        </w:rPr>
        <w:t>7</w:t>
      </w:r>
      <w:r>
        <w:rPr>
          <w:lang w:val="en-GB"/>
        </w:rPr>
        <w:t xml:space="preserve">. </w:t>
      </w:r>
      <w:r w:rsidR="00FF1D70" w:rsidRPr="000E0843">
        <w:rPr>
          <w:lang w:val="en-GB"/>
        </w:rPr>
        <w:t xml:space="preserve">We commit to establish at the national level, in conjunction with indigenous peoples concerned, fair, independent, impartial, open and transparent mechanisms to acknowledge, advance and adjudicate the rights of indigenous peoples pertaining to lands, territories and resources.  </w:t>
      </w:r>
      <w:r w:rsidR="00FF1D70" w:rsidRPr="006D596A">
        <w:rPr>
          <w:highlight w:val="yellow"/>
          <w:lang w:val="en-GB"/>
        </w:rPr>
        <w:t>Such mechanisms will be culturally appropriate and flexible, and competent to safeguard free, prior and informed consent by indigenous peoples prior to development or use of lands, territories and resources</w:t>
      </w:r>
      <w:r>
        <w:rPr>
          <w:lang w:val="en-GB"/>
        </w:rPr>
        <w:t xml:space="preserve">. </w:t>
      </w:r>
    </w:p>
    <w:p w14:paraId="03450E49" w14:textId="77777777" w:rsidR="007D032D" w:rsidRDefault="007D032D" w:rsidP="000E0843">
      <w:pPr>
        <w:pStyle w:val="SingleTxt"/>
        <w:spacing w:after="130"/>
        <w:rPr>
          <w:lang w:val="en-GB"/>
        </w:rPr>
      </w:pPr>
      <w:r>
        <w:rPr>
          <w:lang w:val="en-GB"/>
        </w:rPr>
        <w:t>1</w:t>
      </w:r>
      <w:r w:rsidR="00876AC3">
        <w:rPr>
          <w:lang w:val="en-GB"/>
        </w:rPr>
        <w:t>8</w:t>
      </w:r>
      <w:r>
        <w:rPr>
          <w:lang w:val="en-GB"/>
        </w:rPr>
        <w:t>.</w:t>
      </w:r>
      <w:r>
        <w:rPr>
          <w:lang w:val="en-GB"/>
        </w:rPr>
        <w:tab/>
        <w:t>We c</w:t>
      </w:r>
      <w:r w:rsidRPr="000C3D14">
        <w:rPr>
          <w:lang w:val="en-GB"/>
        </w:rPr>
        <w:t xml:space="preserve">ommit to </w:t>
      </w:r>
      <w:r>
        <w:rPr>
          <w:lang w:val="en-GB"/>
        </w:rPr>
        <w:t xml:space="preserve">address </w:t>
      </w:r>
      <w:r w:rsidRPr="000C3D14">
        <w:rPr>
          <w:lang w:val="en-GB"/>
        </w:rPr>
        <w:t>the</w:t>
      </w:r>
      <w:r>
        <w:rPr>
          <w:lang w:val="en-GB"/>
        </w:rPr>
        <w:t xml:space="preserve"> impact or potential impact</w:t>
      </w:r>
      <w:r w:rsidRPr="000C3D14">
        <w:rPr>
          <w:lang w:val="en-GB"/>
        </w:rPr>
        <w:t xml:space="preserve"> </w:t>
      </w:r>
      <w:r>
        <w:rPr>
          <w:lang w:val="en-GB"/>
        </w:rPr>
        <w:t xml:space="preserve">of major development projects, including extractive industries, on indigenous peoples and to ensure transparency and benefit sharing. </w:t>
      </w:r>
      <w:r w:rsidR="00CF1C3F">
        <w:rPr>
          <w:lang w:val="en-GB"/>
        </w:rPr>
        <w:t>T</w:t>
      </w:r>
      <w:r>
        <w:rPr>
          <w:lang w:val="en-GB"/>
        </w:rPr>
        <w:t>he rights of indigenous peoples regarding development of lands, territories and resources, will be incorporated into law, policies and practice.</w:t>
      </w:r>
    </w:p>
    <w:p w14:paraId="0B41B0EF" w14:textId="77777777" w:rsidR="00DC5FB7" w:rsidRDefault="00FA0DAF" w:rsidP="000E0843">
      <w:pPr>
        <w:pStyle w:val="SingleTxt"/>
        <w:spacing w:after="130"/>
        <w:rPr>
          <w:lang w:val="en-GB"/>
        </w:rPr>
      </w:pPr>
      <w:r>
        <w:rPr>
          <w:lang w:val="en-GB"/>
        </w:rPr>
        <w:t>1</w:t>
      </w:r>
      <w:r w:rsidR="00876AC3">
        <w:rPr>
          <w:lang w:val="en-GB"/>
        </w:rPr>
        <w:t>9</w:t>
      </w:r>
      <w:r>
        <w:rPr>
          <w:lang w:val="en-GB"/>
        </w:rPr>
        <w:t>.</w:t>
      </w:r>
      <w:r>
        <w:rPr>
          <w:lang w:val="en-GB"/>
        </w:rPr>
        <w:tab/>
      </w:r>
      <w:r w:rsidR="00DD7261">
        <w:rPr>
          <w:lang w:val="en-GB"/>
        </w:rPr>
        <w:t xml:space="preserve">We commit to </w:t>
      </w:r>
      <w:r w:rsidR="00E36661">
        <w:rPr>
          <w:lang w:val="en-GB"/>
        </w:rPr>
        <w:t>develop</w:t>
      </w:r>
      <w:r w:rsidR="00DD7261">
        <w:rPr>
          <w:lang w:val="en-GB"/>
        </w:rPr>
        <w:t>, in conjunction with indigenous peoples</w:t>
      </w:r>
      <w:r w:rsidR="007D032D">
        <w:rPr>
          <w:lang w:val="en-GB"/>
        </w:rPr>
        <w:t xml:space="preserve"> concerned</w:t>
      </w:r>
      <w:r w:rsidR="00DD7261">
        <w:rPr>
          <w:lang w:val="en-GB"/>
        </w:rPr>
        <w:t xml:space="preserve">, </w:t>
      </w:r>
      <w:r w:rsidR="00E36661">
        <w:rPr>
          <w:lang w:val="en-GB"/>
        </w:rPr>
        <w:t xml:space="preserve">policies, </w:t>
      </w:r>
      <w:r w:rsidR="00DD7261">
        <w:rPr>
          <w:lang w:val="en-GB"/>
        </w:rPr>
        <w:t xml:space="preserve">programmes and resources </w:t>
      </w:r>
      <w:r w:rsidR="00E36661">
        <w:rPr>
          <w:lang w:val="en-GB"/>
        </w:rPr>
        <w:t>to support</w:t>
      </w:r>
      <w:r w:rsidR="00DD7261">
        <w:rPr>
          <w:lang w:val="en-GB"/>
        </w:rPr>
        <w:t xml:space="preserve"> indigenous peoples’ occupations, economies, livelihoods,</w:t>
      </w:r>
      <w:r w:rsidR="00E36661">
        <w:rPr>
          <w:lang w:val="en-GB"/>
        </w:rPr>
        <w:t xml:space="preserve"> seeds</w:t>
      </w:r>
      <w:r w:rsidR="007671B6">
        <w:rPr>
          <w:lang w:val="en-GB"/>
        </w:rPr>
        <w:t>,</w:t>
      </w:r>
      <w:r w:rsidR="00DD7261">
        <w:rPr>
          <w:lang w:val="en-GB"/>
        </w:rPr>
        <w:t xml:space="preserve"> and food security. </w:t>
      </w:r>
    </w:p>
    <w:p w14:paraId="722D6CF5" w14:textId="77777777" w:rsidR="00DC5FB7" w:rsidRDefault="00876AC3" w:rsidP="000E0843">
      <w:pPr>
        <w:pStyle w:val="SingleTxt"/>
        <w:spacing w:after="130"/>
        <w:rPr>
          <w:lang w:val="en-GB"/>
        </w:rPr>
      </w:pPr>
      <w:r>
        <w:rPr>
          <w:lang w:val="en-GB"/>
        </w:rPr>
        <w:t>20</w:t>
      </w:r>
      <w:r w:rsidR="00FA0DAF">
        <w:rPr>
          <w:lang w:val="en-GB"/>
        </w:rPr>
        <w:t>.</w:t>
      </w:r>
      <w:r w:rsidR="00FA0DAF">
        <w:rPr>
          <w:lang w:val="en-GB"/>
        </w:rPr>
        <w:tab/>
      </w:r>
      <w:r w:rsidR="00E862F7">
        <w:rPr>
          <w:lang w:val="en-GB"/>
        </w:rPr>
        <w:t xml:space="preserve">We commit to </w:t>
      </w:r>
      <w:r w:rsidR="0074258B">
        <w:rPr>
          <w:lang w:val="en-GB"/>
        </w:rPr>
        <w:t xml:space="preserve">give effect to </w:t>
      </w:r>
      <w:r w:rsidR="00BB5576">
        <w:rPr>
          <w:lang w:val="en-GB"/>
        </w:rPr>
        <w:t>indigenous peoples</w:t>
      </w:r>
      <w:r w:rsidR="0074258B">
        <w:rPr>
          <w:lang w:val="en-GB"/>
        </w:rPr>
        <w:t>’</w:t>
      </w:r>
      <w:r w:rsidR="00BB5576">
        <w:rPr>
          <w:lang w:val="en-GB"/>
        </w:rPr>
        <w:t xml:space="preserve"> right </w:t>
      </w:r>
      <w:r w:rsidR="00E862F7">
        <w:rPr>
          <w:lang w:val="en-GB"/>
        </w:rPr>
        <w:t>to their religious and cultural sites</w:t>
      </w:r>
      <w:r w:rsidR="00BC0EB0">
        <w:rPr>
          <w:lang w:val="en-GB"/>
        </w:rPr>
        <w:t xml:space="preserve">, </w:t>
      </w:r>
      <w:r w:rsidR="004A1DC9">
        <w:rPr>
          <w:lang w:val="en-GB"/>
        </w:rPr>
        <w:t xml:space="preserve">as well as </w:t>
      </w:r>
      <w:r w:rsidR="00CC7C4C">
        <w:rPr>
          <w:lang w:val="en-GB"/>
        </w:rPr>
        <w:t xml:space="preserve">call upon all states to provide </w:t>
      </w:r>
      <w:r w:rsidR="00BB5576">
        <w:rPr>
          <w:lang w:val="en-GB"/>
        </w:rPr>
        <w:t xml:space="preserve">access </w:t>
      </w:r>
      <w:r w:rsidR="00E862F7">
        <w:rPr>
          <w:lang w:val="en-GB"/>
        </w:rPr>
        <w:t xml:space="preserve">to </w:t>
      </w:r>
      <w:r w:rsidR="00BB5576">
        <w:rPr>
          <w:lang w:val="en-GB"/>
        </w:rPr>
        <w:t xml:space="preserve">and repatriation of </w:t>
      </w:r>
      <w:r w:rsidR="00CC7C4C">
        <w:rPr>
          <w:lang w:val="en-GB"/>
        </w:rPr>
        <w:t xml:space="preserve">their </w:t>
      </w:r>
      <w:r w:rsidR="00BB5576">
        <w:rPr>
          <w:lang w:val="en-GB"/>
        </w:rPr>
        <w:t>ceremo</w:t>
      </w:r>
      <w:r w:rsidR="00E862F7">
        <w:rPr>
          <w:lang w:val="en-GB"/>
        </w:rPr>
        <w:t xml:space="preserve">nial objects and human remains. </w:t>
      </w:r>
      <w:r w:rsidR="001A4B57" w:rsidRPr="006D596A">
        <w:rPr>
          <w:highlight w:val="yellow"/>
          <w:lang w:val="en-GB"/>
        </w:rPr>
        <w:t xml:space="preserve">We </w:t>
      </w:r>
      <w:r w:rsidR="00CC7C4C" w:rsidRPr="006D596A">
        <w:rPr>
          <w:highlight w:val="yellow"/>
          <w:lang w:val="en-GB"/>
        </w:rPr>
        <w:t>shall establish</w:t>
      </w:r>
      <w:r w:rsidR="00E862F7" w:rsidRPr="006D596A">
        <w:rPr>
          <w:highlight w:val="yellow"/>
          <w:lang w:val="en-GB"/>
        </w:rPr>
        <w:t xml:space="preserve"> </w:t>
      </w:r>
      <w:r w:rsidR="00BE3672" w:rsidRPr="006D596A">
        <w:rPr>
          <w:highlight w:val="yellow"/>
          <w:lang w:val="en-GB"/>
        </w:rPr>
        <w:t>fair, transparent and effective mechanisms</w:t>
      </w:r>
      <w:r w:rsidR="00CC7C4C" w:rsidRPr="006D596A">
        <w:rPr>
          <w:highlight w:val="yellow"/>
          <w:lang w:val="en-GB"/>
        </w:rPr>
        <w:t xml:space="preserve"> for access and repatriation</w:t>
      </w:r>
      <w:r w:rsidR="001A4B57" w:rsidRPr="006D596A">
        <w:rPr>
          <w:highlight w:val="yellow"/>
          <w:lang w:val="en-GB"/>
        </w:rPr>
        <w:t xml:space="preserve"> </w:t>
      </w:r>
      <w:r w:rsidR="00CC7C4C" w:rsidRPr="006D596A">
        <w:rPr>
          <w:highlight w:val="yellow"/>
          <w:lang w:val="en-GB"/>
        </w:rPr>
        <w:t>at national and international levels</w:t>
      </w:r>
      <w:r w:rsidR="00BE3672" w:rsidRPr="006D596A">
        <w:rPr>
          <w:highlight w:val="yellow"/>
          <w:lang w:val="en-GB"/>
        </w:rPr>
        <w:t xml:space="preserve"> in conjunction with indigenous peoples concerned</w:t>
      </w:r>
      <w:r w:rsidR="00E862F7" w:rsidRPr="006D596A">
        <w:rPr>
          <w:highlight w:val="yellow"/>
          <w:lang w:val="en-GB"/>
        </w:rPr>
        <w:t>.</w:t>
      </w:r>
      <w:r w:rsidR="00E862F7">
        <w:rPr>
          <w:lang w:val="en-GB"/>
        </w:rPr>
        <w:t xml:space="preserve"> </w:t>
      </w:r>
    </w:p>
    <w:p w14:paraId="53B9E350" w14:textId="77777777" w:rsidR="00DC5FB7" w:rsidRDefault="00876AC3" w:rsidP="000E0843">
      <w:pPr>
        <w:pStyle w:val="SingleTxt"/>
        <w:spacing w:after="130"/>
        <w:rPr>
          <w:lang w:val="en-GB"/>
        </w:rPr>
      </w:pPr>
      <w:r>
        <w:rPr>
          <w:lang w:val="en-GB"/>
        </w:rPr>
        <w:t>21</w:t>
      </w:r>
      <w:r w:rsidR="00FA0DAF">
        <w:rPr>
          <w:lang w:val="en-GB"/>
        </w:rPr>
        <w:t>.</w:t>
      </w:r>
      <w:r w:rsidR="00FA0DAF">
        <w:rPr>
          <w:lang w:val="en-GB"/>
        </w:rPr>
        <w:tab/>
      </w:r>
      <w:r w:rsidR="00885612" w:rsidRPr="006D596A">
        <w:rPr>
          <w:highlight w:val="yellow"/>
          <w:lang w:val="en-GB"/>
        </w:rPr>
        <w:t>We urge Member States to initiate processes to demilitarize indigenous peoples</w:t>
      </w:r>
      <w:r w:rsidR="00DD38DC" w:rsidRPr="006D596A">
        <w:rPr>
          <w:highlight w:val="yellow"/>
          <w:lang w:val="en-GB"/>
        </w:rPr>
        <w:t>’</w:t>
      </w:r>
      <w:r w:rsidR="00885612" w:rsidRPr="006D596A">
        <w:rPr>
          <w:highlight w:val="yellow"/>
          <w:lang w:val="en-GB"/>
        </w:rPr>
        <w:t xml:space="preserve"> lands and territories, unless </w:t>
      </w:r>
      <w:r w:rsidR="00DD38DC" w:rsidRPr="006D596A">
        <w:rPr>
          <w:highlight w:val="yellow"/>
          <w:lang w:val="en-GB"/>
        </w:rPr>
        <w:t>military activity</w:t>
      </w:r>
      <w:r w:rsidR="00885612" w:rsidRPr="006D596A">
        <w:rPr>
          <w:highlight w:val="yellow"/>
          <w:lang w:val="en-GB"/>
        </w:rPr>
        <w:t xml:space="preserve"> is justified by a relevant public interest. Where militar</w:t>
      </w:r>
      <w:r w:rsidR="00BD2F8C" w:rsidRPr="006D596A">
        <w:rPr>
          <w:highlight w:val="yellow"/>
          <w:lang w:val="en-GB"/>
        </w:rPr>
        <w:t>y activities</w:t>
      </w:r>
      <w:r w:rsidR="00885612" w:rsidRPr="006D596A">
        <w:rPr>
          <w:highlight w:val="yellow"/>
          <w:lang w:val="en-GB"/>
        </w:rPr>
        <w:t xml:space="preserve"> exist</w:t>
      </w:r>
      <w:r w:rsidR="00DD38DC" w:rsidRPr="006D596A">
        <w:rPr>
          <w:highlight w:val="yellow"/>
          <w:lang w:val="en-GB"/>
        </w:rPr>
        <w:t xml:space="preserve">, </w:t>
      </w:r>
      <w:r w:rsidR="00885612" w:rsidRPr="006D596A">
        <w:rPr>
          <w:highlight w:val="yellow"/>
          <w:lang w:val="en-GB"/>
        </w:rPr>
        <w:t>we urge Member States to immediately commence effective consultations with the indigenous peoples concerned</w:t>
      </w:r>
      <w:r w:rsidR="00CF37E1" w:rsidRPr="006D596A">
        <w:rPr>
          <w:highlight w:val="yellow"/>
          <w:lang w:val="en-GB"/>
        </w:rPr>
        <w:t>.</w:t>
      </w:r>
      <w:r w:rsidR="00CF37E1">
        <w:rPr>
          <w:lang w:val="en-GB"/>
        </w:rPr>
        <w:t xml:space="preserve"> </w:t>
      </w:r>
    </w:p>
    <w:p w14:paraId="1D524969" w14:textId="77777777" w:rsidR="00DC5FB7" w:rsidRDefault="00876AC3" w:rsidP="000E0843">
      <w:pPr>
        <w:pStyle w:val="SingleTxt"/>
        <w:spacing w:after="130"/>
        <w:rPr>
          <w:lang w:val="en-GB"/>
        </w:rPr>
      </w:pPr>
      <w:r>
        <w:rPr>
          <w:lang w:val="en-GB"/>
        </w:rPr>
        <w:t>22</w:t>
      </w:r>
      <w:r w:rsidR="00FA0DAF">
        <w:rPr>
          <w:lang w:val="en-GB"/>
        </w:rPr>
        <w:t>.</w:t>
      </w:r>
      <w:r w:rsidR="00FA0DAF">
        <w:rPr>
          <w:lang w:val="en-GB"/>
        </w:rPr>
        <w:tab/>
      </w:r>
      <w:r w:rsidR="00D54168" w:rsidRPr="005E157E">
        <w:rPr>
          <w:lang w:val="en-GB"/>
        </w:rPr>
        <w:t xml:space="preserve">We invite </w:t>
      </w:r>
      <w:r w:rsidR="004A01CA" w:rsidRPr="005E157E">
        <w:rPr>
          <w:lang w:val="en-GB"/>
        </w:rPr>
        <w:t>the United Nations Human Rights Council</w:t>
      </w:r>
      <w:r w:rsidR="00ED1AC4">
        <w:rPr>
          <w:lang w:val="en-GB"/>
        </w:rPr>
        <w:t xml:space="preserve"> in consultation with </w:t>
      </w:r>
      <w:r w:rsidR="004A01CA" w:rsidRPr="005E157E">
        <w:rPr>
          <w:lang w:val="en-GB"/>
        </w:rPr>
        <w:t>indigenous peoples, to recommend to the 7</w:t>
      </w:r>
      <w:r w:rsidR="006311A5">
        <w:rPr>
          <w:lang w:val="en-GB"/>
        </w:rPr>
        <w:t>1</w:t>
      </w:r>
      <w:r w:rsidR="006311A5" w:rsidRPr="00D14778">
        <w:rPr>
          <w:vertAlign w:val="superscript"/>
          <w:lang w:val="en-GB"/>
        </w:rPr>
        <w:t>st</w:t>
      </w:r>
      <w:r w:rsidR="006311A5">
        <w:rPr>
          <w:lang w:val="en-GB"/>
        </w:rPr>
        <w:t xml:space="preserve"> </w:t>
      </w:r>
      <w:r w:rsidR="004A01CA" w:rsidRPr="005E157E">
        <w:rPr>
          <w:lang w:val="en-GB"/>
        </w:rPr>
        <w:t>session of the G</w:t>
      </w:r>
      <w:r w:rsidR="004A01CA" w:rsidRPr="00ED1AC4">
        <w:rPr>
          <w:lang w:val="en-GB"/>
        </w:rPr>
        <w:t>ene</w:t>
      </w:r>
      <w:r w:rsidR="004A01CA" w:rsidRPr="005E157E">
        <w:rPr>
          <w:lang w:val="en-GB"/>
        </w:rPr>
        <w:t>ral Assembly</w:t>
      </w:r>
      <w:r w:rsidR="009256FF">
        <w:rPr>
          <w:lang w:val="en-GB"/>
        </w:rPr>
        <w:t xml:space="preserve"> on</w:t>
      </w:r>
      <w:r w:rsidR="004A01CA" w:rsidRPr="005E157E">
        <w:rPr>
          <w:lang w:val="en-GB"/>
        </w:rPr>
        <w:t xml:space="preserve"> </w:t>
      </w:r>
      <w:r w:rsidR="00A046E7">
        <w:rPr>
          <w:lang w:val="en-GB"/>
        </w:rPr>
        <w:t xml:space="preserve">options to use </w:t>
      </w:r>
      <w:r w:rsidR="005E157E">
        <w:rPr>
          <w:lang w:val="en-GB"/>
        </w:rPr>
        <w:t>existing</w:t>
      </w:r>
      <w:r w:rsidR="000B3925">
        <w:rPr>
          <w:lang w:val="en-GB"/>
        </w:rPr>
        <w:t xml:space="preserve"> </w:t>
      </w:r>
      <w:r w:rsidR="005E157E">
        <w:rPr>
          <w:lang w:val="en-GB"/>
        </w:rPr>
        <w:t>United Nations</w:t>
      </w:r>
      <w:r w:rsidR="000B3925">
        <w:rPr>
          <w:lang w:val="en-GB"/>
        </w:rPr>
        <w:t xml:space="preserve"> mechanisms</w:t>
      </w:r>
      <w:r w:rsidR="00520370">
        <w:rPr>
          <w:lang w:val="en-GB"/>
        </w:rPr>
        <w:t xml:space="preserve"> </w:t>
      </w:r>
      <w:r w:rsidR="00520370" w:rsidRPr="005E157E">
        <w:rPr>
          <w:lang w:val="en-GB"/>
        </w:rPr>
        <w:t xml:space="preserve">to </w:t>
      </w:r>
      <w:r w:rsidR="00520370">
        <w:rPr>
          <w:lang w:val="en-GB"/>
        </w:rPr>
        <w:t xml:space="preserve">more effectively promote respect for and full application </w:t>
      </w:r>
      <w:r w:rsidR="00520370" w:rsidRPr="005E157E">
        <w:rPr>
          <w:lang w:val="en-GB"/>
        </w:rPr>
        <w:t xml:space="preserve">of the United Nations Declaration on the Rights of </w:t>
      </w:r>
      <w:r w:rsidR="00520370" w:rsidRPr="005E157E">
        <w:rPr>
          <w:lang w:val="en-GB"/>
        </w:rPr>
        <w:lastRenderedPageBreak/>
        <w:t>Indigenous Peoples</w:t>
      </w:r>
      <w:r w:rsidR="00520370">
        <w:rPr>
          <w:lang w:val="en-GB"/>
        </w:rPr>
        <w:t>. I</w:t>
      </w:r>
      <w:r w:rsidR="00176CF1">
        <w:rPr>
          <w:lang w:val="en-GB"/>
        </w:rPr>
        <w:t>n</w:t>
      </w:r>
      <w:r w:rsidR="00520370">
        <w:rPr>
          <w:lang w:val="en-GB"/>
        </w:rPr>
        <w:t xml:space="preserve"> </w:t>
      </w:r>
      <w:r w:rsidR="001906F3">
        <w:rPr>
          <w:lang w:val="en-GB"/>
        </w:rPr>
        <w:t>this process</w:t>
      </w:r>
      <w:r w:rsidR="00520370">
        <w:rPr>
          <w:lang w:val="en-GB"/>
        </w:rPr>
        <w:t>, the Council may review the role of</w:t>
      </w:r>
      <w:r w:rsidR="00176CF1">
        <w:rPr>
          <w:lang w:val="en-GB"/>
        </w:rPr>
        <w:t xml:space="preserve"> the Expert Mechanism on t</w:t>
      </w:r>
      <w:r w:rsidR="00520370">
        <w:rPr>
          <w:lang w:val="en-GB"/>
        </w:rPr>
        <w:t>he Rights of Indigenous Peoples to better assist Member States to monitor, evaluate and improve implementation of the Declaration</w:t>
      </w:r>
      <w:r w:rsidR="004A01CA" w:rsidRPr="005E157E">
        <w:rPr>
          <w:lang w:val="en-GB"/>
        </w:rPr>
        <w:t xml:space="preserve">. </w:t>
      </w:r>
    </w:p>
    <w:p w14:paraId="78D6F059" w14:textId="77777777" w:rsidR="00DC5FB7" w:rsidRDefault="00876AC3" w:rsidP="000E0843">
      <w:pPr>
        <w:pStyle w:val="SingleTxt"/>
        <w:spacing w:after="130"/>
        <w:rPr>
          <w:lang w:val="en-GB"/>
        </w:rPr>
      </w:pPr>
      <w:r>
        <w:rPr>
          <w:lang w:val="en-GB"/>
        </w:rPr>
        <w:t>23</w:t>
      </w:r>
      <w:r w:rsidR="00FA0DAF">
        <w:rPr>
          <w:lang w:val="en-GB"/>
        </w:rPr>
        <w:t>.</w:t>
      </w:r>
      <w:r w:rsidR="00FA0DAF">
        <w:rPr>
          <w:lang w:val="en-GB"/>
        </w:rPr>
        <w:tab/>
      </w:r>
      <w:r w:rsidR="00B84558">
        <w:rPr>
          <w:lang w:val="en-GB"/>
        </w:rPr>
        <w:t>We invite</w:t>
      </w:r>
      <w:r w:rsidR="004A01CA" w:rsidRPr="008C182C">
        <w:rPr>
          <w:lang w:val="en-GB"/>
        </w:rPr>
        <w:t xml:space="preserve"> Human Rights Treaty</w:t>
      </w:r>
      <w:r w:rsidR="004A01CA">
        <w:rPr>
          <w:lang w:val="en-GB"/>
        </w:rPr>
        <w:t xml:space="preserve"> bodies</w:t>
      </w:r>
      <w:r w:rsidR="004A01CA" w:rsidRPr="008C182C">
        <w:rPr>
          <w:lang w:val="en-GB"/>
        </w:rPr>
        <w:t xml:space="preserve"> </w:t>
      </w:r>
      <w:r w:rsidR="004A01CA">
        <w:rPr>
          <w:lang w:val="en-GB"/>
        </w:rPr>
        <w:t xml:space="preserve">to </w:t>
      </w:r>
      <w:r w:rsidR="00E610F0">
        <w:rPr>
          <w:lang w:val="en-GB"/>
        </w:rPr>
        <w:t>consider</w:t>
      </w:r>
      <w:r w:rsidR="00B84558">
        <w:rPr>
          <w:lang w:val="en-GB"/>
        </w:rPr>
        <w:t xml:space="preserve"> </w:t>
      </w:r>
      <w:r w:rsidR="004A01CA" w:rsidRPr="008C182C">
        <w:rPr>
          <w:lang w:val="en-GB"/>
        </w:rPr>
        <w:t>the United Nations Declaration on the Rights of Indigenous Peoples</w:t>
      </w:r>
      <w:r w:rsidR="00B84558">
        <w:rPr>
          <w:lang w:val="en-GB"/>
        </w:rPr>
        <w:t xml:space="preserve"> </w:t>
      </w:r>
      <w:r w:rsidR="00176CF1">
        <w:rPr>
          <w:lang w:val="en-GB"/>
        </w:rPr>
        <w:t>in accordance with their existing mandates</w:t>
      </w:r>
      <w:r w:rsidR="00B84558">
        <w:rPr>
          <w:lang w:val="en-GB"/>
        </w:rPr>
        <w:t xml:space="preserve">. We commit to include information regarding the implementation of the United Nations Declaration on Indigenous Peoples in our reports to Human Rights Treaty </w:t>
      </w:r>
      <w:r w:rsidR="0081006B">
        <w:rPr>
          <w:lang w:val="en-GB"/>
        </w:rPr>
        <w:t>bodies</w:t>
      </w:r>
      <w:r w:rsidR="007671B6">
        <w:rPr>
          <w:lang w:val="en-GB"/>
        </w:rPr>
        <w:t>,</w:t>
      </w:r>
      <w:r w:rsidR="0081006B">
        <w:rPr>
          <w:lang w:val="en-GB"/>
        </w:rPr>
        <w:t xml:space="preserve"> and in Universal Periodic Review procedures.</w:t>
      </w:r>
      <w:r w:rsidR="00CF37E1">
        <w:rPr>
          <w:lang w:val="en-GB"/>
        </w:rPr>
        <w:t xml:space="preserve"> </w:t>
      </w:r>
    </w:p>
    <w:p w14:paraId="68CF70CE" w14:textId="77777777" w:rsidR="00DC5FB7" w:rsidRDefault="00876AC3" w:rsidP="000E0843">
      <w:pPr>
        <w:pStyle w:val="SingleTxt"/>
        <w:spacing w:after="130"/>
        <w:rPr>
          <w:lang w:val="en-GB"/>
        </w:rPr>
      </w:pPr>
      <w:r>
        <w:rPr>
          <w:lang w:val="en-GB"/>
        </w:rPr>
        <w:t>24</w:t>
      </w:r>
      <w:r w:rsidR="00FA0DAF">
        <w:rPr>
          <w:lang w:val="en-GB"/>
        </w:rPr>
        <w:t>.</w:t>
      </w:r>
      <w:r w:rsidR="00FA0DAF">
        <w:rPr>
          <w:lang w:val="en-GB"/>
        </w:rPr>
        <w:tab/>
      </w:r>
      <w:r w:rsidR="0037062D">
        <w:rPr>
          <w:lang w:val="en-GB"/>
        </w:rPr>
        <w:t xml:space="preserve">We </w:t>
      </w:r>
      <w:r w:rsidR="00E54F79">
        <w:rPr>
          <w:lang w:val="en-GB"/>
        </w:rPr>
        <w:t>welcome the increasingly important role of national human rights institutions</w:t>
      </w:r>
      <w:r w:rsidR="0037062D">
        <w:rPr>
          <w:rStyle w:val="FootnoteReference"/>
          <w:lang w:val="en-GB"/>
        </w:rPr>
        <w:footnoteReference w:id="4"/>
      </w:r>
      <w:r w:rsidR="0037062D">
        <w:rPr>
          <w:lang w:val="en-GB"/>
        </w:rPr>
        <w:t>, as well as</w:t>
      </w:r>
      <w:r w:rsidR="006B04CA">
        <w:rPr>
          <w:lang w:val="en-GB"/>
        </w:rPr>
        <w:t xml:space="preserve"> regional human rights institutions</w:t>
      </w:r>
      <w:r w:rsidR="00AC79AD">
        <w:rPr>
          <w:lang w:val="en-GB"/>
        </w:rPr>
        <w:t xml:space="preserve"> in contributing to the achievement of the ends of the Declaration on the Rights of Indigenous Peoples</w:t>
      </w:r>
      <w:r w:rsidR="006B04CA">
        <w:rPr>
          <w:lang w:val="en-GB"/>
        </w:rPr>
        <w:t xml:space="preserve">. We will </w:t>
      </w:r>
      <w:r w:rsidR="00584B6F">
        <w:rPr>
          <w:lang w:val="en-GB"/>
        </w:rPr>
        <w:t xml:space="preserve">encourage </w:t>
      </w:r>
      <w:r w:rsidR="006B04CA">
        <w:rPr>
          <w:lang w:val="en-GB"/>
        </w:rPr>
        <w:t>the private sector,</w:t>
      </w:r>
      <w:r w:rsidR="0037062D">
        <w:rPr>
          <w:lang w:val="en-GB"/>
        </w:rPr>
        <w:t xml:space="preserve"> civil society, and academia</w:t>
      </w:r>
      <w:r w:rsidR="00AC79AD">
        <w:rPr>
          <w:lang w:val="en-GB"/>
        </w:rPr>
        <w:t xml:space="preserve"> to take an active role in respecting, promoting and protecting the rights of indigenous peoples</w:t>
      </w:r>
      <w:r w:rsidR="007A6DEE">
        <w:rPr>
          <w:lang w:val="en-GB"/>
        </w:rPr>
        <w:t>.</w:t>
      </w:r>
      <w:r w:rsidR="006B04CA">
        <w:rPr>
          <w:lang w:val="en-GB"/>
        </w:rPr>
        <w:t xml:space="preserve"> </w:t>
      </w:r>
    </w:p>
    <w:p w14:paraId="79276D05" w14:textId="77777777" w:rsidR="00DC5FB7" w:rsidRDefault="00876AC3" w:rsidP="000E0843">
      <w:pPr>
        <w:pStyle w:val="SingleTxt"/>
        <w:spacing w:after="130"/>
        <w:rPr>
          <w:lang w:val="en-GB"/>
        </w:rPr>
      </w:pPr>
      <w:r>
        <w:rPr>
          <w:lang w:val="en-GB"/>
        </w:rPr>
        <w:t>25</w:t>
      </w:r>
      <w:r w:rsidR="00FA0DAF">
        <w:rPr>
          <w:lang w:val="en-GB"/>
        </w:rPr>
        <w:t>.</w:t>
      </w:r>
      <w:r w:rsidR="00FA0DAF">
        <w:rPr>
          <w:lang w:val="en-GB"/>
        </w:rPr>
        <w:tab/>
      </w:r>
      <w:r w:rsidR="0037062D">
        <w:rPr>
          <w:lang w:val="en-GB"/>
        </w:rPr>
        <w:t>We r</w:t>
      </w:r>
      <w:r w:rsidR="004A01CA" w:rsidRPr="00F93A0D">
        <w:rPr>
          <w:lang w:val="en-GB"/>
        </w:rPr>
        <w:t>equest the Secretary-General,</w:t>
      </w:r>
      <w:r w:rsidR="00500A79">
        <w:rPr>
          <w:lang w:val="en-GB"/>
        </w:rPr>
        <w:t xml:space="preserve"> in consultation and cooperation </w:t>
      </w:r>
      <w:r w:rsidR="004A01CA" w:rsidRPr="00F93A0D">
        <w:rPr>
          <w:lang w:val="en-GB"/>
        </w:rPr>
        <w:t>with indigenous peoples</w:t>
      </w:r>
      <w:r w:rsidR="00AC79AD">
        <w:rPr>
          <w:lang w:val="en-GB"/>
        </w:rPr>
        <w:t xml:space="preserve"> and</w:t>
      </w:r>
      <w:r w:rsidR="004A01CA">
        <w:rPr>
          <w:lang w:val="en-GB"/>
        </w:rPr>
        <w:t xml:space="preserve"> Member States</w:t>
      </w:r>
      <w:r w:rsidR="004A01CA" w:rsidRPr="00F93A0D">
        <w:rPr>
          <w:lang w:val="en-GB"/>
        </w:rPr>
        <w:t xml:space="preserve">, to develop a </w:t>
      </w:r>
      <w:r w:rsidR="007656D6">
        <w:rPr>
          <w:lang w:val="en-GB"/>
        </w:rPr>
        <w:t xml:space="preserve">System-wide </w:t>
      </w:r>
      <w:r w:rsidR="004A01CA" w:rsidRPr="00F93A0D">
        <w:rPr>
          <w:lang w:val="en-GB"/>
        </w:rPr>
        <w:t>Action Plan</w:t>
      </w:r>
      <w:r w:rsidR="00AC79AD">
        <w:rPr>
          <w:lang w:val="en-GB"/>
        </w:rPr>
        <w:t xml:space="preserve"> within existing resources, to</w:t>
      </w:r>
      <w:r w:rsidR="00242717">
        <w:rPr>
          <w:lang w:val="en-GB"/>
        </w:rPr>
        <w:t xml:space="preserve"> </w:t>
      </w:r>
      <w:r w:rsidR="00AC79AD">
        <w:rPr>
          <w:lang w:val="en-GB"/>
        </w:rPr>
        <w:t>ensure a coherent approach to</w:t>
      </w:r>
      <w:r w:rsidR="00500A79">
        <w:rPr>
          <w:lang w:val="en-GB"/>
        </w:rPr>
        <w:t xml:space="preserve"> the full realization of the provisions of </w:t>
      </w:r>
      <w:r w:rsidR="006F2D40">
        <w:rPr>
          <w:lang w:val="en-GB"/>
        </w:rPr>
        <w:t xml:space="preserve">United Nations </w:t>
      </w:r>
      <w:r w:rsidR="00500A79">
        <w:rPr>
          <w:lang w:val="en-GB"/>
        </w:rPr>
        <w:t>Declaration on the Rights of Indigenous Peoples.</w:t>
      </w:r>
      <w:r w:rsidR="00CF37E1">
        <w:rPr>
          <w:lang w:val="en-GB"/>
        </w:rPr>
        <w:t xml:space="preserve"> </w:t>
      </w:r>
    </w:p>
    <w:p w14:paraId="788E3F04" w14:textId="77777777" w:rsidR="00DC5FB7" w:rsidRDefault="00876AC3" w:rsidP="000E0843">
      <w:pPr>
        <w:pStyle w:val="SingleTxt"/>
        <w:spacing w:after="130"/>
        <w:rPr>
          <w:lang w:val="en-GB"/>
        </w:rPr>
      </w:pPr>
      <w:r>
        <w:rPr>
          <w:lang w:val="en-GB"/>
        </w:rPr>
        <w:t>26</w:t>
      </w:r>
      <w:r w:rsidR="00FA0DAF">
        <w:rPr>
          <w:lang w:val="en-GB"/>
        </w:rPr>
        <w:t>.</w:t>
      </w:r>
      <w:r w:rsidR="00FA0DAF">
        <w:rPr>
          <w:lang w:val="en-GB"/>
        </w:rPr>
        <w:tab/>
      </w:r>
      <w:r w:rsidR="000321E9">
        <w:rPr>
          <w:lang w:val="en-GB"/>
        </w:rPr>
        <w:t>We i</w:t>
      </w:r>
      <w:r w:rsidR="00B77747">
        <w:rPr>
          <w:lang w:val="en-GB"/>
        </w:rPr>
        <w:t>nvite</w:t>
      </w:r>
      <w:r w:rsidR="004A01CA">
        <w:rPr>
          <w:lang w:val="en-GB"/>
        </w:rPr>
        <w:t xml:space="preserve"> the Secretary General</w:t>
      </w:r>
      <w:r w:rsidR="0074258B">
        <w:rPr>
          <w:lang w:val="en-GB"/>
        </w:rPr>
        <w:t>,</w:t>
      </w:r>
      <w:r w:rsidR="004A01CA" w:rsidRPr="00112469">
        <w:rPr>
          <w:lang w:val="en-GB"/>
        </w:rPr>
        <w:t xml:space="preserve"> </w:t>
      </w:r>
      <w:r w:rsidR="0074258B">
        <w:rPr>
          <w:lang w:val="en-GB"/>
        </w:rPr>
        <w:t>in light of the need for increased</w:t>
      </w:r>
      <w:r w:rsidR="0074258B" w:rsidRPr="00112469">
        <w:rPr>
          <w:lang w:val="en-GB"/>
        </w:rPr>
        <w:t xml:space="preserve"> awareness </w:t>
      </w:r>
      <w:r w:rsidR="0074258B">
        <w:rPr>
          <w:lang w:val="en-GB"/>
        </w:rPr>
        <w:t>of the rights of indigenous peoples,</w:t>
      </w:r>
      <w:r w:rsidR="0074258B" w:rsidRPr="00112469">
        <w:rPr>
          <w:lang w:val="en-GB"/>
        </w:rPr>
        <w:t xml:space="preserve"> </w:t>
      </w:r>
      <w:r w:rsidR="004A01CA" w:rsidRPr="00112469">
        <w:rPr>
          <w:lang w:val="en-GB"/>
        </w:rPr>
        <w:t xml:space="preserve">to </w:t>
      </w:r>
      <w:r w:rsidR="00B77747">
        <w:rPr>
          <w:lang w:val="en-GB"/>
        </w:rPr>
        <w:t xml:space="preserve">give consideration to the </w:t>
      </w:r>
      <w:r w:rsidR="004A01CA" w:rsidRPr="00112469">
        <w:rPr>
          <w:lang w:val="en-GB"/>
        </w:rPr>
        <w:t>appoint</w:t>
      </w:r>
      <w:r w:rsidR="00B77747">
        <w:rPr>
          <w:lang w:val="en-GB"/>
        </w:rPr>
        <w:t>ment of</w:t>
      </w:r>
      <w:r w:rsidR="004A01CA" w:rsidRPr="00112469">
        <w:rPr>
          <w:lang w:val="en-GB"/>
        </w:rPr>
        <w:t xml:space="preserve"> </w:t>
      </w:r>
      <w:r w:rsidR="00A14EA4">
        <w:rPr>
          <w:lang w:val="en-GB"/>
        </w:rPr>
        <w:t xml:space="preserve">a </w:t>
      </w:r>
      <w:r w:rsidR="006D5AE1">
        <w:rPr>
          <w:lang w:val="en-GB"/>
        </w:rPr>
        <w:t>United Nations official</w:t>
      </w:r>
      <w:r w:rsidR="00A14EA4">
        <w:rPr>
          <w:lang w:val="en-GB"/>
        </w:rPr>
        <w:t xml:space="preserve"> at the </w:t>
      </w:r>
      <w:r w:rsidR="006D5AE1">
        <w:rPr>
          <w:lang w:val="en-GB"/>
        </w:rPr>
        <w:t xml:space="preserve">highest possible </w:t>
      </w:r>
      <w:r w:rsidR="00A14EA4">
        <w:rPr>
          <w:lang w:val="en-GB"/>
        </w:rPr>
        <w:t>level</w:t>
      </w:r>
      <w:r w:rsidR="004A01CA" w:rsidRPr="00112469">
        <w:rPr>
          <w:lang w:val="en-GB"/>
        </w:rPr>
        <w:t>.</w:t>
      </w:r>
      <w:r w:rsidR="00CF37E1">
        <w:rPr>
          <w:lang w:val="en-GB"/>
        </w:rPr>
        <w:t xml:space="preserve"> </w:t>
      </w:r>
    </w:p>
    <w:p w14:paraId="0414735E" w14:textId="77777777" w:rsidR="00DC5FB7" w:rsidRDefault="00876AC3" w:rsidP="000E0843">
      <w:pPr>
        <w:pStyle w:val="SingleTxt"/>
        <w:spacing w:after="130"/>
        <w:ind w:left="1260"/>
        <w:rPr>
          <w:lang w:val="en-GB"/>
        </w:rPr>
      </w:pPr>
      <w:r>
        <w:rPr>
          <w:lang w:val="en-GB"/>
        </w:rPr>
        <w:t>27</w:t>
      </w:r>
      <w:r w:rsidR="00FA0DAF">
        <w:rPr>
          <w:lang w:val="en-GB"/>
        </w:rPr>
        <w:t>.</w:t>
      </w:r>
      <w:r w:rsidR="00FA0DAF">
        <w:rPr>
          <w:lang w:val="en-GB"/>
        </w:rPr>
        <w:tab/>
      </w:r>
      <w:r w:rsidR="000321E9">
        <w:rPr>
          <w:lang w:val="en-GB"/>
        </w:rPr>
        <w:t xml:space="preserve">We </w:t>
      </w:r>
      <w:r w:rsidR="0009264A">
        <w:rPr>
          <w:lang w:val="en-GB"/>
        </w:rPr>
        <w:t xml:space="preserve">invite </w:t>
      </w:r>
      <w:r w:rsidR="004A01CA">
        <w:rPr>
          <w:lang w:val="en-GB"/>
        </w:rPr>
        <w:t xml:space="preserve">the </w:t>
      </w:r>
      <w:r w:rsidR="00D05ADF">
        <w:rPr>
          <w:lang w:val="en-GB"/>
        </w:rPr>
        <w:t xml:space="preserve">Human Rights Council to consider </w:t>
      </w:r>
      <w:r w:rsidR="002A70D6">
        <w:rPr>
          <w:lang w:val="en-GB"/>
        </w:rPr>
        <w:t>examin</w:t>
      </w:r>
      <w:r w:rsidR="00D05ADF">
        <w:rPr>
          <w:lang w:val="en-GB"/>
        </w:rPr>
        <w:t xml:space="preserve">ing </w:t>
      </w:r>
      <w:r w:rsidR="002A70D6">
        <w:rPr>
          <w:lang w:val="en-GB"/>
        </w:rPr>
        <w:t>the c</w:t>
      </w:r>
      <w:r w:rsidR="009C3A21" w:rsidRPr="009C3A21">
        <w:rPr>
          <w:lang w:val="en-GB"/>
        </w:rPr>
        <w:t xml:space="preserve">auses and </w:t>
      </w:r>
      <w:r w:rsidR="002A70D6">
        <w:rPr>
          <w:lang w:val="en-GB"/>
        </w:rPr>
        <w:t>c</w:t>
      </w:r>
      <w:r w:rsidR="009C3A21" w:rsidRPr="009C3A21">
        <w:rPr>
          <w:lang w:val="en-GB"/>
        </w:rPr>
        <w:t>onsequences</w:t>
      </w:r>
      <w:r w:rsidR="009C3A21">
        <w:rPr>
          <w:lang w:val="en-GB"/>
        </w:rPr>
        <w:t xml:space="preserve"> </w:t>
      </w:r>
      <w:r w:rsidR="00A8364D">
        <w:rPr>
          <w:lang w:val="en-GB"/>
        </w:rPr>
        <w:t xml:space="preserve">of violence </w:t>
      </w:r>
      <w:r w:rsidR="0009264A">
        <w:rPr>
          <w:lang w:val="en-GB"/>
        </w:rPr>
        <w:t xml:space="preserve">against </w:t>
      </w:r>
      <w:r w:rsidR="00807704">
        <w:rPr>
          <w:lang w:val="en-GB"/>
        </w:rPr>
        <w:t xml:space="preserve">indigenous </w:t>
      </w:r>
      <w:r w:rsidR="0009264A">
        <w:rPr>
          <w:lang w:val="en-GB"/>
        </w:rPr>
        <w:t>women and girls</w:t>
      </w:r>
      <w:r w:rsidR="001A1316">
        <w:rPr>
          <w:lang w:val="en-GB"/>
        </w:rPr>
        <w:t>,</w:t>
      </w:r>
      <w:r w:rsidR="0009264A">
        <w:rPr>
          <w:lang w:val="en-GB"/>
        </w:rPr>
        <w:t xml:space="preserve"> </w:t>
      </w:r>
      <w:r w:rsidR="00D05ADF">
        <w:rPr>
          <w:lang w:val="en-GB"/>
        </w:rPr>
        <w:t>in consultation with the Special R</w:t>
      </w:r>
      <w:r w:rsidR="00482ADA">
        <w:rPr>
          <w:lang w:val="en-GB"/>
        </w:rPr>
        <w:t>a</w:t>
      </w:r>
      <w:r w:rsidR="00D05ADF">
        <w:rPr>
          <w:lang w:val="en-GB"/>
        </w:rPr>
        <w:t>pporteur on V</w:t>
      </w:r>
      <w:r w:rsidR="006C2574">
        <w:rPr>
          <w:lang w:val="en-GB"/>
        </w:rPr>
        <w:t>iolence Against Women and other</w:t>
      </w:r>
      <w:r w:rsidR="00D05ADF">
        <w:rPr>
          <w:lang w:val="en-GB"/>
        </w:rPr>
        <w:t xml:space="preserve"> Special Procedures</w:t>
      </w:r>
      <w:r w:rsidR="00A8364D">
        <w:rPr>
          <w:lang w:val="en-GB"/>
        </w:rPr>
        <w:t>.</w:t>
      </w:r>
      <w:r w:rsidR="004A01CA">
        <w:rPr>
          <w:lang w:val="en-GB"/>
        </w:rPr>
        <w:t xml:space="preserve"> </w:t>
      </w:r>
      <w:r w:rsidR="00D05ADF">
        <w:rPr>
          <w:lang w:val="en-GB"/>
        </w:rPr>
        <w:t xml:space="preserve">We also request </w:t>
      </w:r>
      <w:r w:rsidR="001A1316">
        <w:rPr>
          <w:lang w:val="en-GB"/>
        </w:rPr>
        <w:t xml:space="preserve">the Economic and Social Council to call on </w:t>
      </w:r>
      <w:r w:rsidR="007671B6">
        <w:rPr>
          <w:lang w:val="en-GB"/>
        </w:rPr>
        <w:t xml:space="preserve">the </w:t>
      </w:r>
      <w:r w:rsidR="001A1316">
        <w:rPr>
          <w:lang w:val="en-GB"/>
        </w:rPr>
        <w:t>Commission on the Status of Women</w:t>
      </w:r>
      <w:r w:rsidR="00D05ADF">
        <w:rPr>
          <w:lang w:val="en-GB"/>
        </w:rPr>
        <w:t xml:space="preserve"> to decide</w:t>
      </w:r>
      <w:r w:rsidR="00482ADA">
        <w:rPr>
          <w:lang w:val="en-GB"/>
        </w:rPr>
        <w:t xml:space="preserve"> </w:t>
      </w:r>
      <w:r w:rsidR="00D05ADF">
        <w:rPr>
          <w:lang w:val="en-GB"/>
        </w:rPr>
        <w:t xml:space="preserve">at its </w:t>
      </w:r>
      <w:r w:rsidR="00E20015">
        <w:rPr>
          <w:lang w:val="en-GB"/>
        </w:rPr>
        <w:t>59</w:t>
      </w:r>
      <w:r w:rsidR="00FF1D70" w:rsidRPr="000E0843">
        <w:rPr>
          <w:vertAlign w:val="superscript"/>
          <w:lang w:val="en-GB"/>
        </w:rPr>
        <w:t>th</w:t>
      </w:r>
      <w:r w:rsidR="00D05ADF">
        <w:rPr>
          <w:lang w:val="en-GB"/>
        </w:rPr>
        <w:t xml:space="preserve"> session that</w:t>
      </w:r>
      <w:r w:rsidR="0009264A">
        <w:rPr>
          <w:lang w:val="en-GB"/>
        </w:rPr>
        <w:t xml:space="preserve"> </w:t>
      </w:r>
      <w:r w:rsidR="00807704">
        <w:rPr>
          <w:lang w:val="en-GB"/>
        </w:rPr>
        <w:t>“</w:t>
      </w:r>
      <w:r w:rsidR="0009264A">
        <w:rPr>
          <w:lang w:val="en-GB"/>
        </w:rPr>
        <w:t>the empowerment of indigenous women</w:t>
      </w:r>
      <w:r w:rsidR="00807704">
        <w:rPr>
          <w:lang w:val="en-GB"/>
        </w:rPr>
        <w:t>”</w:t>
      </w:r>
      <w:r w:rsidR="0009264A">
        <w:rPr>
          <w:lang w:val="en-GB"/>
        </w:rPr>
        <w:t xml:space="preserve"> </w:t>
      </w:r>
      <w:r w:rsidR="00D05ADF">
        <w:rPr>
          <w:lang w:val="en-GB"/>
        </w:rPr>
        <w:t>will be a priority</w:t>
      </w:r>
      <w:r w:rsidR="0009264A">
        <w:rPr>
          <w:lang w:val="en-GB"/>
        </w:rPr>
        <w:t xml:space="preserve"> theme</w:t>
      </w:r>
      <w:r w:rsidR="00E20015">
        <w:rPr>
          <w:lang w:val="en-GB"/>
        </w:rPr>
        <w:t xml:space="preserve"> at a future session</w:t>
      </w:r>
      <w:r w:rsidR="00D05ADF">
        <w:rPr>
          <w:lang w:val="en-GB"/>
        </w:rPr>
        <w:t>.</w:t>
      </w:r>
    </w:p>
    <w:p w14:paraId="1F9A9AD1" w14:textId="77777777" w:rsidR="00DC5FB7" w:rsidRDefault="00876AC3" w:rsidP="000E0843">
      <w:pPr>
        <w:pStyle w:val="SingleTxt"/>
        <w:spacing w:after="130"/>
        <w:rPr>
          <w:lang w:val="en-GB"/>
        </w:rPr>
      </w:pPr>
      <w:r>
        <w:rPr>
          <w:lang w:val="en-GB"/>
        </w:rPr>
        <w:t>28</w:t>
      </w:r>
      <w:r w:rsidR="00FA0DAF">
        <w:rPr>
          <w:lang w:val="en-GB"/>
        </w:rPr>
        <w:t>.</w:t>
      </w:r>
      <w:r w:rsidR="00FA0DAF">
        <w:rPr>
          <w:lang w:val="en-GB"/>
        </w:rPr>
        <w:tab/>
      </w:r>
      <w:r w:rsidR="00E610F0" w:rsidRPr="00A83BBA">
        <w:rPr>
          <w:lang w:val="en-GB"/>
        </w:rPr>
        <w:t>Building on</w:t>
      </w:r>
      <w:r w:rsidR="004A01CA" w:rsidRPr="00A83BBA">
        <w:rPr>
          <w:lang w:val="en-GB"/>
        </w:rPr>
        <w:t xml:space="preserve"> the report of the Secretary-General on </w:t>
      </w:r>
      <w:r w:rsidR="009C3A21" w:rsidRPr="00A83BBA">
        <w:rPr>
          <w:lang w:val="en-GB"/>
        </w:rPr>
        <w:t>ways and means of promoting participation at the United Nations of indigenous peoples’ representatives on the issues affecting</w:t>
      </w:r>
      <w:r w:rsidR="00DB071C" w:rsidRPr="00A83BBA">
        <w:rPr>
          <w:lang w:val="en-GB"/>
        </w:rPr>
        <w:t xml:space="preserve"> them</w:t>
      </w:r>
      <w:r w:rsidR="009C3A21">
        <w:rPr>
          <w:rStyle w:val="FootnoteReference"/>
          <w:lang w:val="en-GB"/>
        </w:rPr>
        <w:footnoteReference w:id="5"/>
      </w:r>
      <w:r w:rsidR="00522F64" w:rsidRPr="00A83BBA">
        <w:rPr>
          <w:lang w:val="en-GB"/>
        </w:rPr>
        <w:t xml:space="preserve">, </w:t>
      </w:r>
      <w:r w:rsidR="00FE2142" w:rsidRPr="00A83BBA">
        <w:rPr>
          <w:lang w:val="en-GB"/>
        </w:rPr>
        <w:t xml:space="preserve">we </w:t>
      </w:r>
      <w:r w:rsidR="004A01CA" w:rsidRPr="00A83BBA">
        <w:rPr>
          <w:lang w:val="en-GB"/>
        </w:rPr>
        <w:t>request the Secretary-General to</w:t>
      </w:r>
      <w:r w:rsidR="00FE2142" w:rsidRPr="00A83BBA">
        <w:rPr>
          <w:lang w:val="en-GB"/>
        </w:rPr>
        <w:t xml:space="preserve"> </w:t>
      </w:r>
      <w:r w:rsidR="001A1316">
        <w:rPr>
          <w:lang w:val="en-GB"/>
        </w:rPr>
        <w:t>present</w:t>
      </w:r>
      <w:r w:rsidR="001A1316" w:rsidRPr="00A83BBA">
        <w:rPr>
          <w:lang w:val="en-GB"/>
        </w:rPr>
        <w:t xml:space="preserve"> </w:t>
      </w:r>
      <w:r w:rsidR="001A1316">
        <w:rPr>
          <w:lang w:val="en-GB"/>
        </w:rPr>
        <w:t xml:space="preserve">concrete </w:t>
      </w:r>
      <w:r w:rsidR="004A01CA" w:rsidRPr="00A83BBA">
        <w:rPr>
          <w:lang w:val="en-GB"/>
        </w:rPr>
        <w:t xml:space="preserve">proposals </w:t>
      </w:r>
      <w:r w:rsidR="00FE2142" w:rsidRPr="00A83BBA">
        <w:rPr>
          <w:lang w:val="en-GB"/>
        </w:rPr>
        <w:t>to the</w:t>
      </w:r>
      <w:r w:rsidR="001A1316">
        <w:rPr>
          <w:lang w:val="en-GB"/>
        </w:rPr>
        <w:t xml:space="preserve"> 70</w:t>
      </w:r>
      <w:r w:rsidR="00FF1D70" w:rsidRPr="000E0843">
        <w:rPr>
          <w:vertAlign w:val="superscript"/>
          <w:lang w:val="en-GB"/>
        </w:rPr>
        <w:t>th</w:t>
      </w:r>
      <w:r w:rsidR="001A1316">
        <w:rPr>
          <w:lang w:val="en-GB"/>
        </w:rPr>
        <w:t xml:space="preserve"> Session of the</w:t>
      </w:r>
      <w:r w:rsidR="00FE2142" w:rsidRPr="00A83BBA">
        <w:rPr>
          <w:lang w:val="en-GB"/>
        </w:rPr>
        <w:t xml:space="preserve"> General Assembly </w:t>
      </w:r>
      <w:r w:rsidR="001A1316">
        <w:rPr>
          <w:lang w:val="en-GB"/>
        </w:rPr>
        <w:t>that enable</w:t>
      </w:r>
      <w:r w:rsidR="006C58E7">
        <w:rPr>
          <w:lang w:val="en-GB"/>
        </w:rPr>
        <w:t xml:space="preserve"> </w:t>
      </w:r>
      <w:r w:rsidR="001A1316">
        <w:rPr>
          <w:lang w:val="en-GB"/>
        </w:rPr>
        <w:t>the direct</w:t>
      </w:r>
      <w:r w:rsidR="00FE2142" w:rsidRPr="00A83BBA">
        <w:rPr>
          <w:lang w:val="en-GB"/>
        </w:rPr>
        <w:t xml:space="preserve"> </w:t>
      </w:r>
      <w:r w:rsidR="000B6305" w:rsidRPr="00A83BBA">
        <w:rPr>
          <w:lang w:val="en-GB"/>
        </w:rPr>
        <w:t xml:space="preserve">participation of </w:t>
      </w:r>
      <w:r w:rsidR="00DB071C" w:rsidRPr="00A83BBA">
        <w:rPr>
          <w:lang w:val="en-GB"/>
        </w:rPr>
        <w:t>indigenous peoples</w:t>
      </w:r>
      <w:r w:rsidR="00824936" w:rsidRPr="00A83BBA">
        <w:rPr>
          <w:lang w:val="en-GB"/>
        </w:rPr>
        <w:t>’</w:t>
      </w:r>
      <w:r w:rsidR="001A1316">
        <w:rPr>
          <w:lang w:val="en-GB"/>
        </w:rPr>
        <w:t xml:space="preserve"> and their representative institutions</w:t>
      </w:r>
      <w:r w:rsidR="00FE2142" w:rsidRPr="00A83BBA">
        <w:rPr>
          <w:lang w:val="en-GB"/>
        </w:rPr>
        <w:t xml:space="preserve"> at </w:t>
      </w:r>
      <w:r w:rsidR="00DB071C" w:rsidRPr="00A83BBA">
        <w:rPr>
          <w:lang w:val="en-GB"/>
        </w:rPr>
        <w:t>the United Nations.</w:t>
      </w:r>
      <w:r w:rsidR="004A01CA" w:rsidRPr="00A83BBA">
        <w:rPr>
          <w:lang w:val="en-GB"/>
        </w:rPr>
        <w:t xml:space="preserve"> </w:t>
      </w:r>
    </w:p>
    <w:p w14:paraId="09320A36" w14:textId="77777777" w:rsidR="00DC5FB7" w:rsidRDefault="00876AC3" w:rsidP="000E0843">
      <w:pPr>
        <w:pStyle w:val="SingleTxt"/>
        <w:spacing w:after="130"/>
        <w:rPr>
          <w:b/>
          <w:lang w:val="en-GB"/>
        </w:rPr>
      </w:pPr>
      <w:r>
        <w:rPr>
          <w:lang w:val="en-GB"/>
        </w:rPr>
        <w:t>29</w:t>
      </w:r>
      <w:r w:rsidR="00FA0DAF">
        <w:rPr>
          <w:lang w:val="en-GB"/>
        </w:rPr>
        <w:t>.</w:t>
      </w:r>
      <w:r w:rsidR="00FA0DAF">
        <w:rPr>
          <w:lang w:val="en-GB"/>
        </w:rPr>
        <w:tab/>
      </w:r>
      <w:r w:rsidR="00A83BBA" w:rsidRPr="00A83BBA">
        <w:rPr>
          <w:lang w:val="en-GB"/>
        </w:rPr>
        <w:t xml:space="preserve">We invite </w:t>
      </w:r>
      <w:r w:rsidR="001A1316">
        <w:rPr>
          <w:lang w:val="en-GB"/>
        </w:rPr>
        <w:t>the Economic and Social Council</w:t>
      </w:r>
      <w:r w:rsidR="00A83BBA" w:rsidRPr="00A83BBA">
        <w:rPr>
          <w:lang w:val="en-GB"/>
        </w:rPr>
        <w:t xml:space="preserve"> to </w:t>
      </w:r>
      <w:r w:rsidR="00A238B7">
        <w:rPr>
          <w:lang w:val="en-GB"/>
        </w:rPr>
        <w:t>organize a high-level panel discussion in conjunction with indigenous peoples</w:t>
      </w:r>
      <w:r w:rsidR="00A83BBA" w:rsidRPr="00A83BBA">
        <w:rPr>
          <w:lang w:val="en-GB"/>
        </w:rPr>
        <w:t xml:space="preserve">, during its Coordination and Management meetings </w:t>
      </w:r>
      <w:r w:rsidR="00A238B7">
        <w:rPr>
          <w:lang w:val="en-GB"/>
        </w:rPr>
        <w:t>to review</w:t>
      </w:r>
      <w:r w:rsidR="00A83BBA" w:rsidRPr="00A83BBA">
        <w:rPr>
          <w:lang w:val="en-GB"/>
        </w:rPr>
        <w:t xml:space="preserve"> the policies and procedures on indigenous peoples within ECOSOC subsidiary bodies</w:t>
      </w:r>
      <w:r w:rsidR="00A238B7">
        <w:rPr>
          <w:lang w:val="en-GB"/>
        </w:rPr>
        <w:t>.</w:t>
      </w:r>
    </w:p>
    <w:p w14:paraId="5FBE7BA1" w14:textId="77777777" w:rsidR="00DC5FB7" w:rsidRDefault="00876AC3" w:rsidP="000E0843">
      <w:pPr>
        <w:pStyle w:val="SingleTxt"/>
        <w:spacing w:after="130"/>
        <w:rPr>
          <w:lang w:val="en-GB"/>
        </w:rPr>
      </w:pPr>
      <w:r>
        <w:rPr>
          <w:lang w:val="en-GB"/>
        </w:rPr>
        <w:t>30</w:t>
      </w:r>
      <w:r w:rsidR="00FA0DAF">
        <w:rPr>
          <w:lang w:val="en-GB"/>
        </w:rPr>
        <w:t>.</w:t>
      </w:r>
      <w:r w:rsidR="00FA0DAF">
        <w:rPr>
          <w:lang w:val="en-GB"/>
        </w:rPr>
        <w:tab/>
      </w:r>
      <w:r w:rsidR="00466C8A" w:rsidRPr="00466C8A">
        <w:rPr>
          <w:lang w:val="en-GB"/>
        </w:rPr>
        <w:t xml:space="preserve">We </w:t>
      </w:r>
      <w:r w:rsidR="00F52238">
        <w:rPr>
          <w:lang w:val="en-GB"/>
        </w:rPr>
        <w:t>commit to</w:t>
      </w:r>
      <w:r w:rsidR="00466C8A">
        <w:rPr>
          <w:lang w:val="en-GB"/>
        </w:rPr>
        <w:t xml:space="preserve"> respect </w:t>
      </w:r>
      <w:r w:rsidR="00F52238">
        <w:rPr>
          <w:lang w:val="en-GB"/>
        </w:rPr>
        <w:t>the contributions</w:t>
      </w:r>
      <w:r w:rsidR="00572222">
        <w:rPr>
          <w:lang w:val="en-GB"/>
        </w:rPr>
        <w:t xml:space="preserve"> of</w:t>
      </w:r>
      <w:r w:rsidR="00466C8A" w:rsidRPr="00466C8A">
        <w:rPr>
          <w:lang w:val="en-GB"/>
        </w:rPr>
        <w:t xml:space="preserve"> indigenous peoples to </w:t>
      </w:r>
      <w:r w:rsidR="00F52238">
        <w:rPr>
          <w:lang w:val="en-GB"/>
        </w:rPr>
        <w:t xml:space="preserve">ecosystem management and </w:t>
      </w:r>
      <w:r w:rsidR="00466C8A" w:rsidRPr="00466C8A">
        <w:rPr>
          <w:lang w:val="en-GB"/>
        </w:rPr>
        <w:t>sustainable development</w:t>
      </w:r>
      <w:r w:rsidR="00AF3E9C">
        <w:rPr>
          <w:lang w:val="en-GB"/>
        </w:rPr>
        <w:t>. This includes knowledge</w:t>
      </w:r>
      <w:r w:rsidR="00572222">
        <w:rPr>
          <w:lang w:val="en-GB"/>
        </w:rPr>
        <w:t xml:space="preserve"> generated</w:t>
      </w:r>
      <w:r w:rsidR="00466C8A" w:rsidRPr="00466C8A">
        <w:rPr>
          <w:lang w:val="en-GB"/>
        </w:rPr>
        <w:t xml:space="preserve"> through </w:t>
      </w:r>
      <w:r w:rsidR="00572222">
        <w:rPr>
          <w:lang w:val="en-GB"/>
        </w:rPr>
        <w:t xml:space="preserve">experience in </w:t>
      </w:r>
      <w:r w:rsidR="00466C8A" w:rsidRPr="00466C8A">
        <w:rPr>
          <w:lang w:val="en-GB"/>
        </w:rPr>
        <w:t>hunting, gatheri</w:t>
      </w:r>
      <w:r w:rsidR="00572222">
        <w:rPr>
          <w:lang w:val="en-GB"/>
        </w:rPr>
        <w:t>ng, fishing, pastoralism</w:t>
      </w:r>
      <w:r w:rsidR="00AF3E9C">
        <w:rPr>
          <w:lang w:val="en-GB"/>
        </w:rPr>
        <w:t xml:space="preserve"> and agriculture,</w:t>
      </w:r>
      <w:r w:rsidR="00572222">
        <w:rPr>
          <w:lang w:val="en-GB"/>
        </w:rPr>
        <w:t xml:space="preserve"> as well as </w:t>
      </w:r>
      <w:r w:rsidR="00572222" w:rsidRPr="00466C8A">
        <w:rPr>
          <w:lang w:val="en-GB"/>
        </w:rPr>
        <w:t>their sciences, technologies and cultures</w:t>
      </w:r>
      <w:r w:rsidR="00466C8A" w:rsidRPr="00466C8A">
        <w:rPr>
          <w:lang w:val="en-GB"/>
        </w:rPr>
        <w:t xml:space="preserve">. </w:t>
      </w:r>
    </w:p>
    <w:p w14:paraId="2999AA4E" w14:textId="77777777" w:rsidR="00DC5FB7" w:rsidRDefault="00876AC3" w:rsidP="000E0843">
      <w:pPr>
        <w:pStyle w:val="SingleTxt"/>
        <w:spacing w:after="130"/>
        <w:rPr>
          <w:lang w:val="en-GB"/>
        </w:rPr>
      </w:pPr>
      <w:r>
        <w:rPr>
          <w:lang w:val="en-GB"/>
        </w:rPr>
        <w:t>31</w:t>
      </w:r>
      <w:r w:rsidR="00FA0DAF">
        <w:rPr>
          <w:lang w:val="en-GB"/>
        </w:rPr>
        <w:t>.</w:t>
      </w:r>
      <w:r w:rsidR="00FA0DAF">
        <w:rPr>
          <w:lang w:val="en-GB"/>
        </w:rPr>
        <w:tab/>
      </w:r>
      <w:r w:rsidR="00466C8A">
        <w:rPr>
          <w:lang w:val="en-GB"/>
        </w:rPr>
        <w:t xml:space="preserve">We </w:t>
      </w:r>
      <w:r w:rsidR="00975B28">
        <w:rPr>
          <w:lang w:val="en-GB"/>
        </w:rPr>
        <w:t xml:space="preserve">confirm </w:t>
      </w:r>
      <w:r w:rsidR="00BE12A0">
        <w:rPr>
          <w:lang w:val="en-GB"/>
        </w:rPr>
        <w:t>that</w:t>
      </w:r>
      <w:r w:rsidR="00AF3E9C">
        <w:rPr>
          <w:lang w:val="en-GB"/>
        </w:rPr>
        <w:t xml:space="preserve"> </w:t>
      </w:r>
      <w:r w:rsidR="00466C8A" w:rsidRPr="00466C8A">
        <w:rPr>
          <w:lang w:val="en-GB"/>
        </w:rPr>
        <w:t xml:space="preserve">indigenous peoples’ knowledge and strategies </w:t>
      </w:r>
      <w:r w:rsidR="00C67A9D">
        <w:rPr>
          <w:lang w:val="en-GB"/>
        </w:rPr>
        <w:t>to sustain their environment</w:t>
      </w:r>
      <w:r w:rsidR="00466C8A" w:rsidRPr="00466C8A">
        <w:rPr>
          <w:lang w:val="en-GB"/>
        </w:rPr>
        <w:t xml:space="preserve"> </w:t>
      </w:r>
      <w:r w:rsidR="00975B28">
        <w:rPr>
          <w:lang w:val="en-GB"/>
        </w:rPr>
        <w:t xml:space="preserve">will </w:t>
      </w:r>
      <w:r w:rsidR="00AF3E9C">
        <w:rPr>
          <w:lang w:val="en-GB"/>
        </w:rPr>
        <w:t xml:space="preserve">be respected </w:t>
      </w:r>
      <w:r w:rsidR="00975B28">
        <w:rPr>
          <w:lang w:val="en-GB"/>
        </w:rPr>
        <w:t xml:space="preserve">and utilized </w:t>
      </w:r>
      <w:r w:rsidR="00466C8A" w:rsidRPr="00466C8A">
        <w:rPr>
          <w:lang w:val="en-GB"/>
        </w:rPr>
        <w:t xml:space="preserve">when </w:t>
      </w:r>
      <w:r w:rsidR="00AF3E9C">
        <w:rPr>
          <w:lang w:val="en-GB"/>
        </w:rPr>
        <w:t xml:space="preserve">we develop </w:t>
      </w:r>
      <w:r w:rsidR="00466C8A" w:rsidRPr="00466C8A">
        <w:rPr>
          <w:lang w:val="en-GB"/>
        </w:rPr>
        <w:t>national and international policies, standards and measures on climate change</w:t>
      </w:r>
      <w:r w:rsidR="00AF3E9C">
        <w:rPr>
          <w:lang w:val="en-GB"/>
        </w:rPr>
        <w:t xml:space="preserve"> mitigation and</w:t>
      </w:r>
      <w:r w:rsidR="00466C8A" w:rsidRPr="00466C8A">
        <w:rPr>
          <w:lang w:val="en-GB"/>
        </w:rPr>
        <w:t xml:space="preserve"> adapt</w:t>
      </w:r>
      <w:r w:rsidR="00AF3E9C">
        <w:rPr>
          <w:lang w:val="en-GB"/>
        </w:rPr>
        <w:t>ation</w:t>
      </w:r>
      <w:r w:rsidR="00466C8A" w:rsidRPr="00466C8A">
        <w:rPr>
          <w:lang w:val="en-GB"/>
        </w:rPr>
        <w:t>.</w:t>
      </w:r>
      <w:r w:rsidR="00CF37E1">
        <w:rPr>
          <w:lang w:val="en-GB"/>
        </w:rPr>
        <w:t xml:space="preserve"> </w:t>
      </w:r>
    </w:p>
    <w:p w14:paraId="07272B83" w14:textId="77777777" w:rsidR="00DC5FB7" w:rsidRDefault="00876AC3" w:rsidP="000E0843">
      <w:pPr>
        <w:pStyle w:val="SingleTxt"/>
        <w:spacing w:after="130"/>
        <w:rPr>
          <w:lang w:val="en-GB"/>
        </w:rPr>
      </w:pPr>
      <w:r>
        <w:rPr>
          <w:lang w:val="en-GB"/>
        </w:rPr>
        <w:lastRenderedPageBreak/>
        <w:t>32</w:t>
      </w:r>
      <w:r w:rsidR="00482ADA">
        <w:rPr>
          <w:lang w:val="en-GB"/>
        </w:rPr>
        <w:t>.</w:t>
      </w:r>
      <w:r w:rsidR="00482ADA">
        <w:rPr>
          <w:lang w:val="en-GB"/>
        </w:rPr>
        <w:tab/>
      </w:r>
      <w:r w:rsidR="00DD7261">
        <w:rPr>
          <w:lang w:val="en-GB"/>
        </w:rPr>
        <w:t xml:space="preserve">We </w:t>
      </w:r>
      <w:r w:rsidR="00411C4E">
        <w:rPr>
          <w:lang w:val="en-GB"/>
        </w:rPr>
        <w:t xml:space="preserve">resolve </w:t>
      </w:r>
      <w:r w:rsidR="00824936">
        <w:rPr>
          <w:lang w:val="en-GB"/>
        </w:rPr>
        <w:t>to give due consideration to the rights of indigenous peoples in the</w:t>
      </w:r>
      <w:r w:rsidR="00411C4E">
        <w:rPr>
          <w:lang w:val="en-GB"/>
        </w:rPr>
        <w:t xml:space="preserve"> process of elaborati</w:t>
      </w:r>
      <w:r w:rsidR="00282704">
        <w:rPr>
          <w:lang w:val="en-GB"/>
        </w:rPr>
        <w:t>n</w:t>
      </w:r>
      <w:r w:rsidR="00411C4E">
        <w:rPr>
          <w:lang w:val="en-GB"/>
        </w:rPr>
        <w:t>g</w:t>
      </w:r>
      <w:r w:rsidR="00282704">
        <w:rPr>
          <w:lang w:val="en-GB"/>
        </w:rPr>
        <w:t xml:space="preserve"> the</w:t>
      </w:r>
      <w:r w:rsidR="00824936">
        <w:rPr>
          <w:lang w:val="en-GB"/>
        </w:rPr>
        <w:t xml:space="preserve"> post-2015 development agenda and to mainstream the promotion and protection of th</w:t>
      </w:r>
      <w:r w:rsidR="00975B28">
        <w:rPr>
          <w:lang w:val="en-GB"/>
        </w:rPr>
        <w:t>eir cultures and</w:t>
      </w:r>
      <w:r w:rsidR="00824936">
        <w:rPr>
          <w:lang w:val="en-GB"/>
        </w:rPr>
        <w:t xml:space="preserve"> rights into the development agenda at the national, regional and international levels. </w:t>
      </w:r>
    </w:p>
    <w:p w14:paraId="04BCE469" w14:textId="77777777" w:rsidR="00DC5FB7" w:rsidRDefault="00876AC3" w:rsidP="000E0843">
      <w:pPr>
        <w:pStyle w:val="SingleTxt"/>
        <w:spacing w:after="130"/>
        <w:rPr>
          <w:lang w:val="en-GB"/>
        </w:rPr>
      </w:pPr>
      <w:r>
        <w:rPr>
          <w:lang w:val="en-GB"/>
        </w:rPr>
        <w:t>33</w:t>
      </w:r>
      <w:r w:rsidR="00482ADA">
        <w:rPr>
          <w:lang w:val="en-GB"/>
        </w:rPr>
        <w:t>.</w:t>
      </w:r>
      <w:r w:rsidR="00482ADA">
        <w:rPr>
          <w:lang w:val="en-GB"/>
        </w:rPr>
        <w:tab/>
      </w:r>
      <w:r w:rsidR="00587F9C">
        <w:rPr>
          <w:lang w:val="en-GB"/>
        </w:rPr>
        <w:t>We i</w:t>
      </w:r>
      <w:r w:rsidR="004A01CA">
        <w:rPr>
          <w:lang w:val="en-GB"/>
        </w:rPr>
        <w:t>nvite Member States</w:t>
      </w:r>
      <w:r w:rsidR="00282704">
        <w:rPr>
          <w:lang w:val="en-GB"/>
        </w:rPr>
        <w:t xml:space="preserve"> and actively encourage</w:t>
      </w:r>
      <w:r w:rsidR="00847798">
        <w:rPr>
          <w:lang w:val="en-GB"/>
        </w:rPr>
        <w:t xml:space="preserve"> </w:t>
      </w:r>
      <w:r w:rsidR="004A01CA">
        <w:rPr>
          <w:lang w:val="en-GB"/>
        </w:rPr>
        <w:t>the private sector</w:t>
      </w:r>
      <w:r w:rsidR="00847798">
        <w:rPr>
          <w:lang w:val="en-GB"/>
        </w:rPr>
        <w:t>, and other institutions</w:t>
      </w:r>
      <w:r w:rsidR="004A01CA">
        <w:rPr>
          <w:lang w:val="en-GB"/>
        </w:rPr>
        <w:t xml:space="preserve"> to contribute to the </w:t>
      </w:r>
      <w:r w:rsidR="004A01CA" w:rsidRPr="00C45580">
        <w:rPr>
          <w:lang w:val="en-GB"/>
        </w:rPr>
        <w:t>United Nations</w:t>
      </w:r>
      <w:r w:rsidR="004A01CA">
        <w:rPr>
          <w:lang w:val="en-GB"/>
        </w:rPr>
        <w:t xml:space="preserve"> Voluntary Fund for Indigenous Peoples, the </w:t>
      </w:r>
      <w:r w:rsidR="004A01CA" w:rsidRPr="00C45580">
        <w:rPr>
          <w:lang w:val="en-GB"/>
        </w:rPr>
        <w:t>United Nations</w:t>
      </w:r>
      <w:r w:rsidR="004A01CA">
        <w:rPr>
          <w:lang w:val="en-GB"/>
        </w:rPr>
        <w:t xml:space="preserve"> Trust Fund on Indigenous Issues</w:t>
      </w:r>
      <w:r w:rsidR="00DB0C10">
        <w:rPr>
          <w:lang w:val="en-GB"/>
        </w:rPr>
        <w:t>, IFAD Indigenous Peoples Assistance Facility,</w:t>
      </w:r>
      <w:r w:rsidR="004A01CA">
        <w:rPr>
          <w:lang w:val="en-GB"/>
        </w:rPr>
        <w:t xml:space="preserve"> and the </w:t>
      </w:r>
      <w:r w:rsidR="004A01CA" w:rsidRPr="00C45580">
        <w:rPr>
          <w:lang w:val="en-GB"/>
        </w:rPr>
        <w:t>United Nations</w:t>
      </w:r>
      <w:r w:rsidR="004A01CA">
        <w:rPr>
          <w:lang w:val="en-GB"/>
        </w:rPr>
        <w:t xml:space="preserve"> Indigenous Peoples Partnership as a means of promoting the rights of indigenous peoples worldwide.</w:t>
      </w:r>
      <w:r w:rsidR="003B1430">
        <w:rPr>
          <w:lang w:val="en-GB"/>
        </w:rPr>
        <w:t xml:space="preserve"> </w:t>
      </w:r>
    </w:p>
    <w:p w14:paraId="5D933CE0" w14:textId="77777777" w:rsidR="00DC5FB7" w:rsidRDefault="00876AC3" w:rsidP="000E0843">
      <w:pPr>
        <w:pStyle w:val="SingleTxt"/>
        <w:spacing w:after="130"/>
        <w:rPr>
          <w:lang w:val="en-GB"/>
        </w:rPr>
      </w:pPr>
      <w:r>
        <w:rPr>
          <w:lang w:val="en-GB"/>
        </w:rPr>
        <w:t>34</w:t>
      </w:r>
      <w:r w:rsidR="00482ADA">
        <w:rPr>
          <w:lang w:val="en-GB"/>
        </w:rPr>
        <w:t>.</w:t>
      </w:r>
      <w:r w:rsidR="00482ADA">
        <w:rPr>
          <w:lang w:val="en-GB"/>
        </w:rPr>
        <w:tab/>
      </w:r>
      <w:r w:rsidR="00587F9C">
        <w:rPr>
          <w:lang w:val="en-GB"/>
        </w:rPr>
        <w:t>We r</w:t>
      </w:r>
      <w:r w:rsidR="00587F9C" w:rsidRPr="004A01CA">
        <w:rPr>
          <w:lang w:val="en-GB"/>
        </w:rPr>
        <w:t xml:space="preserve">equest the </w:t>
      </w:r>
      <w:r w:rsidR="00F70E16">
        <w:rPr>
          <w:lang w:val="en-GB"/>
        </w:rPr>
        <w:t>Secretary</w:t>
      </w:r>
      <w:r w:rsidR="00C40205">
        <w:rPr>
          <w:lang w:val="en-GB"/>
        </w:rPr>
        <w:t>-</w:t>
      </w:r>
      <w:r w:rsidR="00F70E16">
        <w:rPr>
          <w:lang w:val="en-GB"/>
        </w:rPr>
        <w:t>General</w:t>
      </w:r>
      <w:r w:rsidR="00587F9C" w:rsidRPr="004A01CA">
        <w:rPr>
          <w:lang w:val="en-GB"/>
        </w:rPr>
        <w:t xml:space="preserve"> to include a specific focus on indigenous peoples in </w:t>
      </w:r>
      <w:r w:rsidR="00F70E16">
        <w:rPr>
          <w:lang w:val="en-GB"/>
        </w:rPr>
        <w:t>the</w:t>
      </w:r>
      <w:r w:rsidR="00587F9C" w:rsidRPr="004A01CA">
        <w:rPr>
          <w:lang w:val="en-GB"/>
        </w:rPr>
        <w:t xml:space="preserve"> final report</w:t>
      </w:r>
      <w:r w:rsidR="00282704">
        <w:rPr>
          <w:rStyle w:val="FootnoteReference"/>
          <w:lang w:val="en-GB"/>
        </w:rPr>
        <w:footnoteReference w:id="6"/>
      </w:r>
      <w:r w:rsidR="00587F9C" w:rsidRPr="004A01CA">
        <w:rPr>
          <w:lang w:val="en-GB"/>
        </w:rPr>
        <w:t xml:space="preserve"> on the achievement of the millennium development goals.</w:t>
      </w:r>
    </w:p>
    <w:p w14:paraId="74934812" w14:textId="77777777" w:rsidR="00C40205" w:rsidRDefault="00876AC3" w:rsidP="00C40205">
      <w:pPr>
        <w:pStyle w:val="SingleTxt"/>
        <w:spacing w:after="130"/>
        <w:rPr>
          <w:lang w:val="en-GB"/>
        </w:rPr>
      </w:pPr>
      <w:r>
        <w:rPr>
          <w:lang w:val="en-GB"/>
        </w:rPr>
        <w:t>35</w:t>
      </w:r>
      <w:r w:rsidR="00482ADA">
        <w:rPr>
          <w:lang w:val="en-GB"/>
        </w:rPr>
        <w:t>.</w:t>
      </w:r>
      <w:r w:rsidR="00482ADA">
        <w:rPr>
          <w:lang w:val="en-GB"/>
        </w:rPr>
        <w:tab/>
      </w:r>
      <w:r w:rsidR="006C0442">
        <w:rPr>
          <w:lang w:val="en-GB"/>
        </w:rPr>
        <w:t>We r</w:t>
      </w:r>
      <w:r w:rsidR="004A01CA" w:rsidRPr="004A01CA">
        <w:rPr>
          <w:lang w:val="en-GB"/>
        </w:rPr>
        <w:t xml:space="preserve">equest the Secretary-General, in coordination with relevant United Nations </w:t>
      </w:r>
      <w:r w:rsidR="006C0442">
        <w:rPr>
          <w:lang w:val="en-GB"/>
        </w:rPr>
        <w:t xml:space="preserve">system </w:t>
      </w:r>
      <w:r w:rsidR="004A01CA" w:rsidRPr="004A01CA">
        <w:rPr>
          <w:lang w:val="en-GB"/>
        </w:rPr>
        <w:t xml:space="preserve">entities, to </w:t>
      </w:r>
      <w:r w:rsidR="00587F9C">
        <w:rPr>
          <w:lang w:val="en-GB"/>
        </w:rPr>
        <w:t>report</w:t>
      </w:r>
      <w:r w:rsidR="004A01CA" w:rsidRPr="004A01CA">
        <w:rPr>
          <w:lang w:val="en-GB"/>
        </w:rPr>
        <w:t xml:space="preserve"> </w:t>
      </w:r>
      <w:r w:rsidR="00DB0C10">
        <w:rPr>
          <w:lang w:val="en-GB"/>
        </w:rPr>
        <w:t xml:space="preserve">on progress </w:t>
      </w:r>
      <w:r w:rsidR="009256FF">
        <w:rPr>
          <w:lang w:val="en-GB"/>
        </w:rPr>
        <w:t>to the 71st</w:t>
      </w:r>
      <w:r w:rsidR="00DB0C10">
        <w:rPr>
          <w:lang w:val="en-GB"/>
        </w:rPr>
        <w:t xml:space="preserve"> session of the General Assembly and make recommendations, as appropriate, for further concrete steps to implement this </w:t>
      </w:r>
      <w:r w:rsidR="00A83BBA">
        <w:rPr>
          <w:lang w:val="en-GB"/>
        </w:rPr>
        <w:t>outcome document</w:t>
      </w:r>
      <w:r w:rsidR="00DB0C10">
        <w:rPr>
          <w:lang w:val="en-GB"/>
        </w:rPr>
        <w:t xml:space="preserve">. </w:t>
      </w:r>
    </w:p>
    <w:p w14:paraId="5140CD8E" w14:textId="77777777" w:rsidR="00243D47" w:rsidRPr="00243D47" w:rsidRDefault="00243D47" w:rsidP="00243D47">
      <w:pPr>
        <w:pStyle w:val="SingleTxt"/>
        <w:spacing w:after="130"/>
        <w:rPr>
          <w:bCs/>
          <w:lang w:val="en-GB"/>
        </w:rPr>
      </w:pPr>
      <w:r>
        <w:rPr>
          <w:lang w:val="en-GB"/>
        </w:rPr>
        <w:t>36.</w:t>
      </w:r>
      <w:r>
        <w:rPr>
          <w:lang w:val="en-GB"/>
        </w:rPr>
        <w:tab/>
      </w:r>
      <w:r w:rsidRPr="00243D47">
        <w:rPr>
          <w:bCs/>
          <w:lang w:val="en-GB"/>
        </w:rPr>
        <w:t>We request the Secretary</w:t>
      </w:r>
      <w:r w:rsidR="00C40205">
        <w:rPr>
          <w:bCs/>
          <w:lang w:val="en-GB"/>
        </w:rPr>
        <w:t>-</w:t>
      </w:r>
      <w:r w:rsidRPr="00243D47">
        <w:rPr>
          <w:bCs/>
          <w:lang w:val="en-GB"/>
        </w:rPr>
        <w:t xml:space="preserve">General to revert on the financial implications, if any, at the sixty-ninth session of the </w:t>
      </w:r>
      <w:r w:rsidR="00F177C1">
        <w:rPr>
          <w:bCs/>
          <w:lang w:val="en-GB"/>
        </w:rPr>
        <w:t>United Nations General Assembly</w:t>
      </w:r>
      <w:r w:rsidRPr="00243D47">
        <w:rPr>
          <w:bCs/>
          <w:lang w:val="en-GB"/>
        </w:rPr>
        <w:t xml:space="preserve">. </w:t>
      </w:r>
    </w:p>
    <w:p w14:paraId="3E1A9388" w14:textId="77777777" w:rsidR="00243D47" w:rsidRPr="00243D47" w:rsidRDefault="00C40205" w:rsidP="000E0843">
      <w:pPr>
        <w:pStyle w:val="SingleTxt"/>
        <w:spacing w:after="130"/>
        <w:rPr>
          <w:lang w:val="en-GB"/>
        </w:rPr>
      </w:pPr>
      <w:r>
        <w:rPr>
          <w:noProof/>
          <w:w w:val="100"/>
          <w:lang w:val="en-US"/>
        </w:rPr>
        <mc:AlternateContent>
          <mc:Choice Requires="wps">
            <w:drawing>
              <wp:anchor distT="4294967293" distB="4294967293" distL="114300" distR="114300" simplePos="0" relativeHeight="251660288" behindDoc="0" locked="0" layoutInCell="1" allowOverlap="1" wp14:anchorId="10944594" wp14:editId="233DF82A">
                <wp:simplePos x="0" y="0"/>
                <wp:positionH relativeFrom="column">
                  <wp:posOffset>2652423</wp:posOffset>
                </wp:positionH>
                <wp:positionV relativeFrom="paragraph">
                  <wp:posOffset>222250</wp:posOffset>
                </wp:positionV>
                <wp:extent cx="9144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8.85pt,17.5pt" to="280.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rL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" strokeweight=".25pt"/>
            </w:pict>
          </mc:Fallback>
        </mc:AlternateContent>
      </w:r>
    </w:p>
    <w:p w14:paraId="1C9AA52C" w14:textId="77777777" w:rsidR="00243D47" w:rsidRDefault="00243D47" w:rsidP="000E0843">
      <w:pPr>
        <w:pStyle w:val="SingleTxt"/>
        <w:spacing w:after="130"/>
        <w:rPr>
          <w:lang w:val="en-GB"/>
        </w:rPr>
      </w:pPr>
    </w:p>
    <w:p w14:paraId="73BF3783" w14:textId="77777777" w:rsidR="00243D47" w:rsidRDefault="00243D47" w:rsidP="000E0843">
      <w:pPr>
        <w:pStyle w:val="SingleTxt"/>
        <w:spacing w:after="130"/>
        <w:rPr>
          <w:lang w:val="en-GB"/>
        </w:rPr>
      </w:pPr>
    </w:p>
    <w:p w14:paraId="09C19514" w14:textId="77777777" w:rsidR="00243D47" w:rsidRDefault="00243D47" w:rsidP="000E0843">
      <w:pPr>
        <w:pStyle w:val="SingleTxt"/>
        <w:spacing w:after="130"/>
        <w:rPr>
          <w:lang w:val="en-GB"/>
        </w:rPr>
      </w:pPr>
    </w:p>
    <w:p w14:paraId="6280D6BD" w14:textId="77777777" w:rsidR="00243D47" w:rsidRDefault="00243D47" w:rsidP="000E0843">
      <w:pPr>
        <w:pStyle w:val="SingleTxt"/>
        <w:spacing w:after="130"/>
        <w:rPr>
          <w:lang w:val="en-GB"/>
        </w:rPr>
      </w:pPr>
    </w:p>
    <w:p w14:paraId="03BAEC87" w14:textId="77777777" w:rsidR="00243D47" w:rsidRDefault="00243D47" w:rsidP="000E0843">
      <w:pPr>
        <w:pStyle w:val="SingleTxt"/>
        <w:spacing w:after="130"/>
        <w:rPr>
          <w:lang w:val="en-GB"/>
        </w:rPr>
      </w:pPr>
    </w:p>
    <w:p w14:paraId="35109EAE" w14:textId="77777777" w:rsidR="00243D47" w:rsidRDefault="00243D47" w:rsidP="000E0843">
      <w:pPr>
        <w:pStyle w:val="SingleTxt"/>
        <w:spacing w:after="130"/>
        <w:rPr>
          <w:lang w:val="en-GB"/>
        </w:rPr>
      </w:pPr>
    </w:p>
    <w:p w14:paraId="59A4566C" w14:textId="77777777" w:rsidR="00243D47" w:rsidRPr="00243D47" w:rsidRDefault="00243D47" w:rsidP="000E0843">
      <w:pPr>
        <w:pStyle w:val="SingleTxt"/>
        <w:spacing w:after="130"/>
        <w:rPr>
          <w:lang w:val="en-GB"/>
        </w:rPr>
      </w:pPr>
    </w:p>
    <w:sectPr w:rsidR="00243D47" w:rsidRPr="00243D47" w:rsidSect="002D5C11">
      <w:headerReference w:type="even" r:id="rId13"/>
      <w:headerReference w:type="default" r:id="rId14"/>
      <w:footerReference w:type="even" r:id="rId15"/>
      <w:footerReference w:type="default" r:id="rId16"/>
      <w:type w:val="continuous"/>
      <w:pgSz w:w="12240" w:h="15840" w:code="1"/>
      <w:pgMar w:top="1584" w:right="1195" w:bottom="1440" w:left="1195" w:header="576" w:footer="100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D6604" w14:textId="77777777" w:rsidR="006D596A" w:rsidRDefault="006D596A">
      <w:r>
        <w:separator/>
      </w:r>
    </w:p>
  </w:endnote>
  <w:endnote w:type="continuationSeparator" w:id="0">
    <w:p w14:paraId="1455C788" w14:textId="77777777" w:rsidR="006D596A" w:rsidRDefault="006D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Barcode 3 of 9 by request">
    <w:altName w:val="Helvetica Neue Black Condensed"/>
    <w:charset w:val="00"/>
    <w:family w:val="swiss"/>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F68B0" w14:textId="77777777" w:rsidR="006D596A" w:rsidRDefault="006D596A">
    <w:pPr>
      <w:pStyle w:val="Footer"/>
      <w:framePr w:w="362" w:h="365" w:hRule="exact" w:wrap="around" w:vAnchor="text" w:hAnchor="page" w:x="1162" w:y="8"/>
      <w:rPr>
        <w:rStyle w:val="PageNumber"/>
        <w:b/>
        <w:sz w:val="18"/>
      </w:rPr>
    </w:pPr>
    <w:r>
      <w:rPr>
        <w:rStyle w:val="PageNumber"/>
        <w:b/>
        <w:sz w:val="18"/>
      </w:rPr>
      <w:fldChar w:fldCharType="begin"/>
    </w:r>
    <w:r>
      <w:rPr>
        <w:rStyle w:val="PageNumber"/>
        <w:b/>
        <w:sz w:val="18"/>
      </w:rPr>
      <w:instrText xml:space="preserve">PAGE  </w:instrText>
    </w:r>
    <w:r>
      <w:rPr>
        <w:rStyle w:val="PageNumber"/>
        <w:b/>
        <w:sz w:val="18"/>
      </w:rPr>
      <w:fldChar w:fldCharType="separate"/>
    </w:r>
    <w:r>
      <w:rPr>
        <w:rStyle w:val="PageNumber"/>
        <w:b/>
        <w:noProof/>
        <w:sz w:val="18"/>
      </w:rPr>
      <w:t>3</w:t>
    </w:r>
    <w:r>
      <w:rPr>
        <w:rStyle w:val="PageNumber"/>
        <w:b/>
        <w:sz w:val="18"/>
      </w:rPr>
      <w:fldChar w:fldCharType="end"/>
    </w:r>
  </w:p>
  <w:p w14:paraId="156FF2CB" w14:textId="77777777" w:rsidR="006D596A" w:rsidRDefault="006D596A">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C22FC" w14:textId="77777777" w:rsidR="006D596A" w:rsidRDefault="006D596A">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Pr>
        <w:rStyle w:val="PageNumber"/>
        <w:b/>
        <w:bCs/>
        <w:noProof/>
        <w:sz w:val="18"/>
      </w:rPr>
      <w:t>3</w:t>
    </w:r>
    <w:r>
      <w:rPr>
        <w:rStyle w:val="PageNumber"/>
        <w:b/>
        <w:bCs/>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3"/>
      <w:gridCol w:w="3805"/>
    </w:tblGrid>
    <w:tr w:rsidR="006D596A" w14:paraId="6C55A6CD" w14:textId="77777777" w:rsidTr="00E56B9D">
      <w:trPr>
        <w:trHeight w:val="439"/>
      </w:trPr>
      <w:tc>
        <w:tcPr>
          <w:tcW w:w="5033" w:type="dxa"/>
          <w:shd w:val="clear" w:color="auto" w:fill="auto"/>
        </w:tcPr>
        <w:p w14:paraId="507C7B63" w14:textId="77777777" w:rsidR="006D596A" w:rsidRPr="00E56B9D" w:rsidRDefault="006D596A" w:rsidP="003D4CBE">
          <w:pPr>
            <w:pStyle w:val="Footer"/>
            <w:rPr>
              <w:rFonts w:ascii="Barcode 3 of 9 by request" w:hAnsi="Barcode 3 of 9 by request"/>
            </w:rPr>
          </w:pPr>
        </w:p>
      </w:tc>
      <w:tc>
        <w:tcPr>
          <w:tcW w:w="3805" w:type="dxa"/>
          <w:shd w:val="clear" w:color="auto" w:fill="auto"/>
        </w:tcPr>
        <w:p w14:paraId="5296555D" w14:textId="77777777" w:rsidR="006D596A" w:rsidRDefault="006D596A" w:rsidP="00E56B9D">
          <w:pPr>
            <w:pStyle w:val="Footer"/>
            <w:spacing w:before="40"/>
            <w:jc w:val="right"/>
          </w:pPr>
        </w:p>
      </w:tc>
    </w:tr>
  </w:tbl>
  <w:p w14:paraId="2CECF465" w14:textId="77777777" w:rsidR="006D596A" w:rsidRDefault="006D596A" w:rsidP="003D4CBE">
    <w:pPr>
      <w:pStyle w:val="Footer"/>
      <w:spacing w:before="24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3F0A5" w14:textId="77777777" w:rsidR="006D596A" w:rsidRDefault="006D596A">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885633">
      <w:rPr>
        <w:rStyle w:val="PageNumber"/>
        <w:b/>
        <w:bCs/>
        <w:noProof/>
        <w:sz w:val="18"/>
      </w:rPr>
      <w:t>4</w:t>
    </w:r>
    <w:r>
      <w:rPr>
        <w:rStyle w:val="PageNumber"/>
        <w:b/>
        <w:bCs/>
        <w:sz w:val="18"/>
      </w:rPr>
      <w:fldChar w:fldCharType="end"/>
    </w:r>
    <w:r>
      <w:rPr>
        <w:rStyle w:val="PageNumber"/>
        <w:b/>
        <w:bCs/>
        <w:sz w:val="18"/>
      </w:rPr>
      <w:t>/</w:t>
    </w:r>
    <w:r w:rsidRPr="00BB225B">
      <w:rPr>
        <w:rStyle w:val="PageNumber"/>
        <w:b/>
        <w:bCs/>
        <w:sz w:val="18"/>
      </w:rPr>
      <w:fldChar w:fldCharType="begin"/>
    </w:r>
    <w:r w:rsidRPr="00BB225B">
      <w:rPr>
        <w:rStyle w:val="PageNumber"/>
        <w:b/>
        <w:bCs/>
        <w:sz w:val="18"/>
      </w:rPr>
      <w:instrText xml:space="preserve"> NUMPAGES </w:instrText>
    </w:r>
    <w:r w:rsidRPr="00BB225B">
      <w:rPr>
        <w:rStyle w:val="PageNumber"/>
        <w:b/>
        <w:bCs/>
        <w:sz w:val="18"/>
      </w:rPr>
      <w:fldChar w:fldCharType="separate"/>
    </w:r>
    <w:r w:rsidR="00885633">
      <w:rPr>
        <w:rStyle w:val="PageNumber"/>
        <w:b/>
        <w:bCs/>
        <w:noProof/>
        <w:sz w:val="18"/>
      </w:rPr>
      <w:t>5</w:t>
    </w:r>
    <w:r w:rsidRPr="00BB225B">
      <w:rPr>
        <w:rStyle w:val="PageNumber"/>
        <w:b/>
        <w:bCs/>
        <w:sz w:val="18"/>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420A5" w14:textId="77777777" w:rsidR="006D596A" w:rsidRDefault="006D596A">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885633">
      <w:rPr>
        <w:rStyle w:val="PageNumber"/>
        <w:b/>
        <w:bCs/>
        <w:noProof/>
        <w:sz w:val="18"/>
      </w:rPr>
      <w:t>3</w:t>
    </w:r>
    <w:r>
      <w:rPr>
        <w:rStyle w:val="PageNumber"/>
        <w:b/>
        <w:bCs/>
        <w:sz w:val="18"/>
      </w:rPr>
      <w:fldChar w:fldCharType="end"/>
    </w:r>
    <w:r>
      <w:rPr>
        <w:rStyle w:val="PageNumber"/>
        <w:b/>
        <w:bCs/>
        <w:sz w:val="18"/>
      </w:rPr>
      <w:t>/</w:t>
    </w:r>
    <w:r w:rsidRPr="00BB225B">
      <w:rPr>
        <w:rStyle w:val="PageNumber"/>
        <w:b/>
        <w:bCs/>
        <w:sz w:val="18"/>
      </w:rPr>
      <w:fldChar w:fldCharType="begin"/>
    </w:r>
    <w:r w:rsidRPr="00BB225B">
      <w:rPr>
        <w:rStyle w:val="PageNumber"/>
        <w:b/>
        <w:bCs/>
        <w:sz w:val="18"/>
      </w:rPr>
      <w:instrText xml:space="preserve"> NUMPAGES </w:instrText>
    </w:r>
    <w:r w:rsidRPr="00BB225B">
      <w:rPr>
        <w:rStyle w:val="PageNumber"/>
        <w:b/>
        <w:bCs/>
        <w:sz w:val="18"/>
      </w:rPr>
      <w:fldChar w:fldCharType="separate"/>
    </w:r>
    <w:r w:rsidR="00885633">
      <w:rPr>
        <w:rStyle w:val="PageNumber"/>
        <w:b/>
        <w:bCs/>
        <w:noProof/>
        <w:sz w:val="18"/>
      </w:rPr>
      <w:t>5</w:t>
    </w:r>
    <w:r w:rsidRPr="00BB225B">
      <w:rPr>
        <w:rStyle w:val="PageNumber"/>
        <w:b/>
        <w:bCs/>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61BFB" w14:textId="77777777" w:rsidR="006D596A" w:rsidRPr="00463379" w:rsidRDefault="006D596A" w:rsidP="009C17E4">
      <w:pPr>
        <w:pStyle w:val="Footer"/>
        <w:suppressAutoHyphens/>
        <w:spacing w:beforeLines="100" w:before="240" w:afterLines="50" w:after="120"/>
        <w:ind w:left="1267" w:right="1267"/>
        <w:rPr>
          <w:b/>
          <w:kern w:val="14"/>
        </w:rPr>
      </w:pPr>
      <w:r w:rsidRPr="00463379">
        <w:rPr>
          <w:b/>
          <w:kern w:val="14"/>
        </w:rPr>
        <w:t>_______________</w:t>
      </w:r>
    </w:p>
  </w:footnote>
  <w:footnote w:type="continuationSeparator" w:id="0">
    <w:p w14:paraId="014A26D5" w14:textId="77777777" w:rsidR="006D596A" w:rsidRPr="00463379" w:rsidRDefault="006D596A">
      <w:pPr>
        <w:rPr>
          <w:highlight w:val="yellow"/>
        </w:rPr>
      </w:pPr>
      <w:r w:rsidRPr="00463379">
        <w:rPr>
          <w:highlight w:val="yellow"/>
        </w:rPr>
        <w:continuationSeparator/>
      </w:r>
    </w:p>
  </w:footnote>
  <w:footnote w:id="1">
    <w:p w14:paraId="34292137" w14:textId="77777777" w:rsidR="006D596A" w:rsidRDefault="006D596A" w:rsidP="00AB349F">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pPr>
      <w:r w:rsidRPr="00104043">
        <w:rPr>
          <w:rStyle w:val="FootnoteReference"/>
          <w:sz w:val="17"/>
          <w:lang w:val="en-GB"/>
        </w:rPr>
        <w:footnoteRef/>
      </w:r>
      <w:r w:rsidRPr="00104043">
        <w:rPr>
          <w:rStyle w:val="FootnoteReference"/>
          <w:sz w:val="17"/>
          <w:lang w:val="en-GB"/>
        </w:rPr>
        <w:t xml:space="preserve"> </w:t>
      </w:r>
      <w:r>
        <w:rPr>
          <w:sz w:val="17"/>
          <w:lang w:val="en-GB"/>
        </w:rPr>
        <w:t xml:space="preserve">Alta Outcome Document </w:t>
      </w:r>
      <w:r w:rsidRPr="007804A2">
        <w:rPr>
          <w:sz w:val="17"/>
          <w:lang w:val="en-GB"/>
        </w:rPr>
        <w:t>A/67/994.</w:t>
      </w:r>
    </w:p>
  </w:footnote>
  <w:footnote w:id="2">
    <w:p w14:paraId="28EBFF94" w14:textId="77777777" w:rsidR="006D596A" w:rsidRPr="00463379" w:rsidRDefault="006D596A" w:rsidP="00C11018">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en-GB"/>
        </w:rPr>
      </w:pPr>
      <w:r w:rsidRPr="00463379">
        <w:rPr>
          <w:rStyle w:val="FootnoteReference"/>
          <w:sz w:val="17"/>
          <w:lang w:val="en-GB"/>
        </w:rPr>
        <w:footnoteRef/>
      </w:r>
      <w:r>
        <w:rPr>
          <w:sz w:val="17"/>
          <w:lang w:val="en-GB"/>
        </w:rPr>
        <w:t>A/RES/61/295.</w:t>
      </w:r>
    </w:p>
  </w:footnote>
  <w:footnote w:id="3">
    <w:p w14:paraId="00B8A2A1" w14:textId="77777777" w:rsidR="006D596A" w:rsidRPr="00F30DD3" w:rsidRDefault="006D596A" w:rsidP="007804A2">
      <w:pPr>
        <w:pStyle w:val="FootnoteText"/>
        <w:ind w:left="835" w:firstLine="432"/>
        <w:rPr>
          <w:sz w:val="17"/>
          <w:szCs w:val="17"/>
        </w:rPr>
      </w:pPr>
      <w:r w:rsidRPr="00F30DD3">
        <w:rPr>
          <w:rStyle w:val="FootnoteReference"/>
          <w:sz w:val="17"/>
          <w:szCs w:val="17"/>
        </w:rPr>
        <w:footnoteRef/>
      </w:r>
      <w:r w:rsidRPr="00F30DD3">
        <w:rPr>
          <w:sz w:val="17"/>
          <w:szCs w:val="17"/>
        </w:rPr>
        <w:t xml:space="preserve"> </w:t>
      </w:r>
      <w:proofErr w:type="gramStart"/>
      <w:r w:rsidRPr="00F5243D">
        <w:rPr>
          <w:sz w:val="17"/>
          <w:szCs w:val="17"/>
        </w:rPr>
        <w:t>United Nations, Treaty Series, vol. 1650, No. 28383.</w:t>
      </w:r>
      <w:proofErr w:type="gramEnd"/>
    </w:p>
  </w:footnote>
  <w:footnote w:id="4">
    <w:p w14:paraId="4643ABC1" w14:textId="77777777" w:rsidR="006D596A" w:rsidRPr="00E54F79" w:rsidRDefault="006D596A" w:rsidP="0037062D">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szCs w:val="17"/>
        </w:rPr>
      </w:pPr>
      <w:r w:rsidRPr="00E54F79">
        <w:rPr>
          <w:sz w:val="17"/>
          <w:szCs w:val="17"/>
          <w:vertAlign w:val="superscript"/>
          <w:lang w:val="en-GB"/>
        </w:rPr>
        <w:footnoteRef/>
      </w:r>
      <w:r w:rsidRPr="00E54F79">
        <w:rPr>
          <w:sz w:val="17"/>
          <w:szCs w:val="17"/>
          <w:lang w:val="en-GB"/>
        </w:rPr>
        <w:t xml:space="preserve"> A/RES/68/171.</w:t>
      </w:r>
    </w:p>
  </w:footnote>
  <w:footnote w:id="5">
    <w:p w14:paraId="2D20E238" w14:textId="77777777" w:rsidR="006D596A" w:rsidRPr="009C3A21" w:rsidRDefault="006D596A" w:rsidP="009C3A21">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szCs w:val="17"/>
        </w:rPr>
      </w:pPr>
      <w:r w:rsidRPr="009C3A21">
        <w:rPr>
          <w:rStyle w:val="FootnoteReference"/>
          <w:sz w:val="17"/>
          <w:szCs w:val="17"/>
          <w:lang w:val="en-GB"/>
        </w:rPr>
        <w:footnoteRef/>
      </w:r>
      <w:r w:rsidRPr="009C3A21">
        <w:rPr>
          <w:rStyle w:val="FootnoteReference"/>
          <w:sz w:val="17"/>
          <w:szCs w:val="17"/>
          <w:lang w:val="en-GB"/>
        </w:rPr>
        <w:t xml:space="preserve"> </w:t>
      </w:r>
      <w:r w:rsidRPr="009C3A21">
        <w:rPr>
          <w:rStyle w:val="FootnoteReference"/>
          <w:sz w:val="17"/>
          <w:szCs w:val="17"/>
          <w:vertAlign w:val="baseline"/>
          <w:lang w:val="en-GB"/>
        </w:rPr>
        <w:t>A/HRC/21/24.</w:t>
      </w:r>
    </w:p>
  </w:footnote>
  <w:footnote w:id="6">
    <w:p w14:paraId="61935688" w14:textId="77777777" w:rsidR="006D596A" w:rsidRDefault="006D596A">
      <w:pPr>
        <w:pStyle w:val="FootnoteText"/>
      </w:pPr>
      <w:r>
        <w:rPr>
          <w:rStyle w:val="FootnoteReference"/>
        </w:rPr>
        <w:footnoteRef/>
      </w:r>
      <w:r>
        <w:t xml:space="preserve"> </w:t>
      </w:r>
      <w:r w:rsidRPr="000E0843">
        <w:rPr>
          <w:sz w:val="16"/>
          <w:szCs w:val="16"/>
        </w:rPr>
        <w:t>As called for in A/RES/65/1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350"/>
      <w:gridCol w:w="5220"/>
      <w:gridCol w:w="3330"/>
    </w:tblGrid>
    <w:tr w:rsidR="006D596A" w14:paraId="31048B74" w14:textId="77777777">
      <w:trPr>
        <w:cantSplit/>
        <w:trHeight w:val="540"/>
      </w:trPr>
      <w:tc>
        <w:tcPr>
          <w:tcW w:w="1350" w:type="dxa"/>
          <w:tcBorders>
            <w:bottom w:val="single" w:sz="6" w:space="0" w:color="auto"/>
          </w:tcBorders>
        </w:tcPr>
        <w:p w14:paraId="4834A871" w14:textId="77777777" w:rsidR="006D596A" w:rsidRDefault="006D596A">
          <w:pPr>
            <w:spacing w:before="240"/>
            <w:rPr>
              <w:sz w:val="22"/>
            </w:rPr>
          </w:pPr>
        </w:p>
      </w:tc>
      <w:tc>
        <w:tcPr>
          <w:tcW w:w="5220" w:type="dxa"/>
          <w:tcBorders>
            <w:bottom w:val="single" w:sz="6" w:space="0" w:color="auto"/>
          </w:tcBorders>
        </w:tcPr>
        <w:p w14:paraId="272ED131" w14:textId="77777777" w:rsidR="006D596A" w:rsidRDefault="006D596A" w:rsidP="000714F7">
          <w:pPr>
            <w:pStyle w:val="Heading2"/>
            <w:spacing w:before="240"/>
            <w:rPr>
              <w:sz w:val="28"/>
              <w:lang w:val="en-GB"/>
            </w:rPr>
          </w:pPr>
        </w:p>
      </w:tc>
      <w:tc>
        <w:tcPr>
          <w:tcW w:w="3330" w:type="dxa"/>
          <w:tcBorders>
            <w:bottom w:val="single" w:sz="6" w:space="0" w:color="auto"/>
          </w:tcBorders>
        </w:tcPr>
        <w:p w14:paraId="4A1C0BFB" w14:textId="77777777" w:rsidR="006D596A" w:rsidRDefault="006D596A" w:rsidP="00B41E34">
          <w:pPr>
            <w:spacing w:before="120"/>
            <w:jc w:val="right"/>
            <w:rPr>
              <w:lang w:val="en-GB"/>
            </w:rPr>
          </w:pPr>
          <w:r>
            <w:rPr>
              <w:lang w:val="en-GB"/>
            </w:rPr>
            <w:t>Draft</w:t>
          </w:r>
        </w:p>
      </w:tc>
    </w:tr>
    <w:tr w:rsidR="006D596A" w14:paraId="2BE5AF48" w14:textId="77777777">
      <w:trPr>
        <w:trHeight w:val="1988"/>
      </w:trPr>
      <w:tc>
        <w:tcPr>
          <w:tcW w:w="1350" w:type="dxa"/>
          <w:tcBorders>
            <w:top w:val="single" w:sz="6" w:space="0" w:color="auto"/>
            <w:bottom w:val="single" w:sz="12" w:space="0" w:color="auto"/>
          </w:tcBorders>
          <w:vAlign w:val="center"/>
        </w:tcPr>
        <w:p w14:paraId="1666B0DE" w14:textId="77777777" w:rsidR="006D596A" w:rsidRDefault="006D596A">
          <w:pPr>
            <w:rPr>
              <w:lang w:val="en-GB"/>
            </w:rPr>
          </w:pPr>
        </w:p>
      </w:tc>
      <w:tc>
        <w:tcPr>
          <w:tcW w:w="5220" w:type="dxa"/>
          <w:tcBorders>
            <w:top w:val="single" w:sz="6" w:space="0" w:color="auto"/>
            <w:bottom w:val="single" w:sz="12" w:space="0" w:color="auto"/>
          </w:tcBorders>
          <w:vAlign w:val="center"/>
        </w:tcPr>
        <w:p w14:paraId="7C9BF250" w14:textId="77777777" w:rsidR="006D596A" w:rsidRDefault="006D596A">
          <w:pPr>
            <w:pStyle w:val="Heading3"/>
            <w:rPr>
              <w:b/>
              <w:lang w:val="en-GB"/>
            </w:rPr>
          </w:pPr>
        </w:p>
      </w:tc>
      <w:tc>
        <w:tcPr>
          <w:tcW w:w="3330" w:type="dxa"/>
          <w:tcBorders>
            <w:top w:val="single" w:sz="6" w:space="0" w:color="auto"/>
            <w:bottom w:val="single" w:sz="12" w:space="0" w:color="auto"/>
          </w:tcBorders>
          <w:vAlign w:val="center"/>
        </w:tcPr>
        <w:p w14:paraId="05ABD3B6" w14:textId="77777777" w:rsidR="006D596A" w:rsidRDefault="006D596A">
          <w:pPr>
            <w:jc w:val="right"/>
            <w:rPr>
              <w:lang w:val="en-GB"/>
            </w:rPr>
          </w:pPr>
          <w:r>
            <w:rPr>
              <w:lang w:val="en-GB"/>
            </w:rPr>
            <w:t>26 August 2014</w:t>
          </w:r>
        </w:p>
      </w:tc>
    </w:tr>
    <w:tr w:rsidR="006D596A" w14:paraId="0C00EECB" w14:textId="77777777">
      <w:trPr>
        <w:cantSplit/>
        <w:trHeight w:val="542"/>
      </w:trPr>
      <w:tc>
        <w:tcPr>
          <w:tcW w:w="9900" w:type="dxa"/>
          <w:gridSpan w:val="3"/>
          <w:tcBorders>
            <w:top w:val="single" w:sz="12" w:space="0" w:color="auto"/>
          </w:tcBorders>
          <w:vAlign w:val="bottom"/>
        </w:tcPr>
        <w:p w14:paraId="25821F8B" w14:textId="77777777" w:rsidR="006D596A" w:rsidRDefault="006D596A">
          <w:pPr>
            <w:rPr>
              <w:lang w:val="en-GB"/>
            </w:rPr>
          </w:pPr>
        </w:p>
      </w:tc>
    </w:tr>
  </w:tbl>
  <w:p w14:paraId="1AD58650" w14:textId="77777777" w:rsidR="006D596A" w:rsidRDefault="006D596A">
    <w:pPr>
      <w:pStyle w:val="Header"/>
      <w:rPr>
        <w:sz w:val="16"/>
        <w:vertAlign w:val="superscript"/>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CellMar>
        <w:left w:w="0" w:type="dxa"/>
        <w:right w:w="0" w:type="dxa"/>
      </w:tblCellMar>
      <w:tblLook w:val="01E0" w:firstRow="1" w:lastRow="1" w:firstColumn="1" w:lastColumn="1" w:noHBand="0" w:noVBand="0"/>
    </w:tblPr>
    <w:tblGrid>
      <w:gridCol w:w="2520"/>
      <w:gridCol w:w="7330"/>
    </w:tblGrid>
    <w:tr w:rsidR="006D596A" w:rsidRPr="00E56B9D" w14:paraId="41A5671B" w14:textId="77777777" w:rsidTr="00E56B9D">
      <w:trPr>
        <w:trHeight w:val="720"/>
      </w:trPr>
      <w:tc>
        <w:tcPr>
          <w:tcW w:w="2520" w:type="dxa"/>
          <w:shd w:val="clear" w:color="auto" w:fill="auto"/>
          <w:vAlign w:val="bottom"/>
        </w:tcPr>
        <w:p w14:paraId="5AD57641" w14:textId="77777777" w:rsidR="006D596A" w:rsidRPr="00E56B9D" w:rsidRDefault="006D596A">
          <w:pPr>
            <w:tabs>
              <w:tab w:val="center" w:pos="4320"/>
              <w:tab w:val="right" w:pos="8640"/>
            </w:tabs>
            <w:spacing w:after="40"/>
            <w:rPr>
              <w:b/>
              <w:sz w:val="18"/>
              <w:lang w:val="en-GB"/>
            </w:rPr>
          </w:pPr>
          <w:r>
            <w:rPr>
              <w:b/>
              <w:sz w:val="18"/>
              <w:lang w:val="en-GB"/>
            </w:rPr>
            <w:t>26</w:t>
          </w:r>
          <w:r w:rsidRPr="00E56B9D">
            <w:rPr>
              <w:b/>
              <w:sz w:val="18"/>
              <w:lang w:val="en-GB"/>
            </w:rPr>
            <w:t xml:space="preserve"> </w:t>
          </w:r>
          <w:r>
            <w:rPr>
              <w:b/>
              <w:sz w:val="18"/>
              <w:lang w:val="en-GB"/>
            </w:rPr>
            <w:t>August</w:t>
          </w:r>
          <w:r w:rsidRPr="00E56B9D">
            <w:rPr>
              <w:b/>
              <w:sz w:val="18"/>
              <w:lang w:val="en-GB"/>
            </w:rPr>
            <w:t xml:space="preserve"> 2014</w:t>
          </w:r>
        </w:p>
      </w:tc>
      <w:tc>
        <w:tcPr>
          <w:tcW w:w="7330" w:type="dxa"/>
          <w:shd w:val="clear" w:color="auto" w:fill="auto"/>
          <w:vAlign w:val="bottom"/>
        </w:tcPr>
        <w:p w14:paraId="4A267D65" w14:textId="77777777" w:rsidR="006D596A" w:rsidRPr="00E56B9D" w:rsidRDefault="006D596A" w:rsidP="00A83BBA">
          <w:pPr>
            <w:tabs>
              <w:tab w:val="center" w:pos="4320"/>
              <w:tab w:val="right" w:pos="8640"/>
            </w:tabs>
            <w:spacing w:after="40"/>
            <w:jc w:val="right"/>
            <w:rPr>
              <w:rFonts w:ascii="Times New Roman Bold" w:hAnsi="Times New Roman Bold"/>
              <w:b/>
              <w:spacing w:val="-4"/>
              <w:sz w:val="18"/>
              <w:lang w:val="en-GB"/>
            </w:rPr>
          </w:pPr>
          <w:r>
            <w:rPr>
              <w:rFonts w:ascii="Times New Roman Bold" w:hAnsi="Times New Roman Bold"/>
              <w:b/>
              <w:spacing w:val="-2"/>
              <w:sz w:val="18"/>
              <w:lang w:val="en-GB"/>
            </w:rPr>
            <w:t>D</w:t>
          </w:r>
          <w:r w:rsidRPr="00E56B9D">
            <w:rPr>
              <w:rFonts w:ascii="Times New Roman Bold" w:hAnsi="Times New Roman Bold"/>
              <w:b/>
              <w:spacing w:val="-2"/>
              <w:sz w:val="18"/>
              <w:lang w:val="en-GB"/>
            </w:rPr>
            <w:t xml:space="preserve">raft </w:t>
          </w:r>
          <w:r>
            <w:rPr>
              <w:rFonts w:ascii="Times New Roman Bold" w:hAnsi="Times New Roman Bold"/>
              <w:b/>
              <w:spacing w:val="-2"/>
              <w:sz w:val="18"/>
              <w:lang w:val="en-GB"/>
            </w:rPr>
            <w:t>outcome document</w:t>
          </w:r>
          <w:r w:rsidRPr="00E56B9D">
            <w:rPr>
              <w:rFonts w:ascii="Times New Roman Bold" w:hAnsi="Times New Roman Bold"/>
              <w:b/>
              <w:spacing w:val="-2"/>
              <w:sz w:val="18"/>
              <w:lang w:val="en-GB"/>
            </w:rPr>
            <w:t xml:space="preserve"> of the high-level meeting of the General Assembly on the world conference on indigenous peoples</w:t>
          </w:r>
        </w:p>
      </w:tc>
    </w:tr>
  </w:tbl>
  <w:p w14:paraId="0171415E" w14:textId="77777777" w:rsidR="006D596A" w:rsidRPr="00BB225B" w:rsidRDefault="006D596A" w:rsidP="00BB225B">
    <w:pPr>
      <w:pStyle w:val="Header"/>
      <w:rPr>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434" w:type="dxa"/>
      <w:tblBorders>
        <w:bottom w:val="single" w:sz="6" w:space="0" w:color="auto"/>
      </w:tblBorders>
      <w:tblCellMar>
        <w:left w:w="0" w:type="dxa"/>
        <w:right w:w="0" w:type="dxa"/>
      </w:tblCellMar>
      <w:tblLook w:val="01E0" w:firstRow="1" w:lastRow="1" w:firstColumn="1" w:lastColumn="1" w:noHBand="0" w:noVBand="0"/>
    </w:tblPr>
    <w:tblGrid>
      <w:gridCol w:w="7330"/>
      <w:gridCol w:w="2552"/>
      <w:gridCol w:w="2552"/>
    </w:tblGrid>
    <w:tr w:rsidR="006D596A" w:rsidRPr="00E56B9D" w14:paraId="747652D2" w14:textId="77777777" w:rsidTr="00E56B9D">
      <w:trPr>
        <w:trHeight w:val="720"/>
      </w:trPr>
      <w:tc>
        <w:tcPr>
          <w:tcW w:w="7330" w:type="dxa"/>
          <w:shd w:val="clear" w:color="auto" w:fill="auto"/>
          <w:vAlign w:val="bottom"/>
        </w:tcPr>
        <w:p w14:paraId="2A150B84" w14:textId="77777777" w:rsidR="006D596A" w:rsidRPr="00E56B9D" w:rsidRDefault="006D596A" w:rsidP="00A83BBA">
          <w:pPr>
            <w:pStyle w:val="Header"/>
            <w:spacing w:after="40"/>
            <w:rPr>
              <w:b/>
              <w:sz w:val="18"/>
              <w:lang w:val="en-GB"/>
            </w:rPr>
          </w:pPr>
          <w:r>
            <w:rPr>
              <w:b/>
              <w:sz w:val="18"/>
              <w:lang w:val="en-GB"/>
            </w:rPr>
            <w:t>D</w:t>
          </w:r>
          <w:r w:rsidRPr="00E56B9D">
            <w:rPr>
              <w:b/>
              <w:sz w:val="18"/>
              <w:lang w:val="en-GB"/>
            </w:rPr>
            <w:t xml:space="preserve">raft </w:t>
          </w:r>
          <w:r>
            <w:rPr>
              <w:b/>
              <w:sz w:val="18"/>
              <w:lang w:val="en-GB"/>
            </w:rPr>
            <w:t>outcome document</w:t>
          </w:r>
          <w:r w:rsidRPr="00E56B9D">
            <w:rPr>
              <w:b/>
              <w:sz w:val="18"/>
              <w:lang w:val="en-GB"/>
            </w:rPr>
            <w:t xml:space="preserve"> of the high-level meeting of the General Assembly on the world conference on indigenous peoples</w:t>
          </w:r>
        </w:p>
      </w:tc>
      <w:tc>
        <w:tcPr>
          <w:tcW w:w="2552" w:type="dxa"/>
          <w:shd w:val="clear" w:color="auto" w:fill="auto"/>
          <w:vAlign w:val="bottom"/>
        </w:tcPr>
        <w:p w14:paraId="0467A119" w14:textId="77777777" w:rsidR="006D596A" w:rsidRPr="00E56B9D" w:rsidRDefault="006D596A">
          <w:pPr>
            <w:tabs>
              <w:tab w:val="center" w:pos="4320"/>
              <w:tab w:val="right" w:pos="8640"/>
            </w:tabs>
            <w:spacing w:after="40"/>
            <w:rPr>
              <w:b/>
              <w:sz w:val="18"/>
              <w:lang w:val="en-GB"/>
            </w:rPr>
          </w:pPr>
          <w:r>
            <w:rPr>
              <w:b/>
              <w:sz w:val="18"/>
              <w:lang w:val="en-GB"/>
            </w:rPr>
            <w:t>26</w:t>
          </w:r>
          <w:r w:rsidRPr="00E56B9D">
            <w:rPr>
              <w:b/>
              <w:sz w:val="18"/>
              <w:lang w:val="en-GB"/>
            </w:rPr>
            <w:t xml:space="preserve"> </w:t>
          </w:r>
          <w:r>
            <w:rPr>
              <w:b/>
              <w:sz w:val="18"/>
              <w:lang w:val="en-GB"/>
            </w:rPr>
            <w:t>August</w:t>
          </w:r>
          <w:r w:rsidRPr="00E56B9D">
            <w:rPr>
              <w:b/>
              <w:sz w:val="18"/>
              <w:lang w:val="en-GB"/>
            </w:rPr>
            <w:t xml:space="preserve"> 2014</w:t>
          </w:r>
        </w:p>
      </w:tc>
      <w:tc>
        <w:tcPr>
          <w:tcW w:w="2552" w:type="dxa"/>
          <w:shd w:val="clear" w:color="auto" w:fill="auto"/>
          <w:vAlign w:val="bottom"/>
        </w:tcPr>
        <w:p w14:paraId="169BDCE7" w14:textId="77777777" w:rsidR="006D596A" w:rsidRPr="00E56B9D" w:rsidRDefault="006D596A" w:rsidP="00E56B9D">
          <w:pPr>
            <w:pStyle w:val="Header"/>
            <w:spacing w:after="40"/>
            <w:jc w:val="right"/>
            <w:rPr>
              <w:b/>
              <w:sz w:val="18"/>
              <w:lang w:val="en-GB"/>
            </w:rPr>
          </w:pPr>
        </w:p>
      </w:tc>
    </w:tr>
  </w:tbl>
  <w:p w14:paraId="7A54385F" w14:textId="77777777" w:rsidR="006D596A" w:rsidRPr="00BB225B" w:rsidRDefault="006D596A" w:rsidP="00BB225B">
    <w:pPr>
      <w:pStyle w:val="Head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05679"/>
    <w:multiLevelType w:val="hybridMultilevel"/>
    <w:tmpl w:val="F0E07AB0"/>
    <w:lvl w:ilvl="0" w:tplc="80525B52">
      <w:start w:val="4"/>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
    <w:nsid w:val="3F067EA7"/>
    <w:multiLevelType w:val="hybridMultilevel"/>
    <w:tmpl w:val="62ACC2CC"/>
    <w:lvl w:ilvl="0" w:tplc="86E8EA92">
      <w:start w:val="9"/>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
    <w:nsid w:val="42266345"/>
    <w:multiLevelType w:val="hybridMultilevel"/>
    <w:tmpl w:val="BCDE05EA"/>
    <w:lvl w:ilvl="0" w:tplc="7EB20024">
      <w:start w:val="1"/>
      <w:numFmt w:val="decimal"/>
      <w:lvlText w:val="%1."/>
      <w:lvlJc w:val="left"/>
      <w:pPr>
        <w:ind w:left="1747" w:hanging="48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
    <w:nsid w:val="490A495B"/>
    <w:multiLevelType w:val="hybridMultilevel"/>
    <w:tmpl w:val="649E96D2"/>
    <w:lvl w:ilvl="0" w:tplc="420641B0">
      <w:start w:val="4"/>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4">
    <w:nsid w:val="4A2401D4"/>
    <w:multiLevelType w:val="hybridMultilevel"/>
    <w:tmpl w:val="FB08EE9A"/>
    <w:lvl w:ilvl="0" w:tplc="08527F4E">
      <w:start w:val="1"/>
      <w:numFmt w:val="decimal"/>
      <w:lvlText w:val="%1."/>
      <w:lvlJc w:val="left"/>
      <w:pPr>
        <w:ind w:left="1627" w:hanging="360"/>
      </w:pPr>
      <w:rPr>
        <w:rFonts w:hint="default"/>
        <w:b w:val="0"/>
        <w:bCs/>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5">
    <w:nsid w:val="549F1F41"/>
    <w:multiLevelType w:val="hybridMultilevel"/>
    <w:tmpl w:val="5168729A"/>
    <w:lvl w:ilvl="0" w:tplc="0809000F">
      <w:start w:val="1"/>
      <w:numFmt w:val="decimal"/>
      <w:lvlText w:val="%1."/>
      <w:lvlJc w:val="lef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47"/>
    <w:rsid w:val="00000D3D"/>
    <w:rsid w:val="00002BF2"/>
    <w:rsid w:val="00002F0E"/>
    <w:rsid w:val="0001024C"/>
    <w:rsid w:val="000171D2"/>
    <w:rsid w:val="0002022C"/>
    <w:rsid w:val="00022935"/>
    <w:rsid w:val="00024625"/>
    <w:rsid w:val="00027058"/>
    <w:rsid w:val="000321E9"/>
    <w:rsid w:val="00041B14"/>
    <w:rsid w:val="000464F5"/>
    <w:rsid w:val="00056F60"/>
    <w:rsid w:val="00064447"/>
    <w:rsid w:val="0006482F"/>
    <w:rsid w:val="00070E4D"/>
    <w:rsid w:val="000714F7"/>
    <w:rsid w:val="00074180"/>
    <w:rsid w:val="0008335D"/>
    <w:rsid w:val="0009264A"/>
    <w:rsid w:val="000A3E34"/>
    <w:rsid w:val="000A41A7"/>
    <w:rsid w:val="000B3925"/>
    <w:rsid w:val="000B3A51"/>
    <w:rsid w:val="000B5C65"/>
    <w:rsid w:val="000B6305"/>
    <w:rsid w:val="000C1342"/>
    <w:rsid w:val="000C2CB6"/>
    <w:rsid w:val="000C36C6"/>
    <w:rsid w:val="000C3D14"/>
    <w:rsid w:val="000C43AF"/>
    <w:rsid w:val="000C4A1D"/>
    <w:rsid w:val="000C4F04"/>
    <w:rsid w:val="000C668E"/>
    <w:rsid w:val="000E0843"/>
    <w:rsid w:val="000E5238"/>
    <w:rsid w:val="000E572F"/>
    <w:rsid w:val="000F7367"/>
    <w:rsid w:val="00104043"/>
    <w:rsid w:val="00112469"/>
    <w:rsid w:val="00121E53"/>
    <w:rsid w:val="001269A0"/>
    <w:rsid w:val="001326C0"/>
    <w:rsid w:val="001406B7"/>
    <w:rsid w:val="001474FC"/>
    <w:rsid w:val="0015125C"/>
    <w:rsid w:val="00151A16"/>
    <w:rsid w:val="00151B70"/>
    <w:rsid w:val="0015240C"/>
    <w:rsid w:val="001558B0"/>
    <w:rsid w:val="001565BA"/>
    <w:rsid w:val="001644D2"/>
    <w:rsid w:val="001651EE"/>
    <w:rsid w:val="00171F7E"/>
    <w:rsid w:val="001732ED"/>
    <w:rsid w:val="00176CF1"/>
    <w:rsid w:val="00177310"/>
    <w:rsid w:val="001906F3"/>
    <w:rsid w:val="0019252C"/>
    <w:rsid w:val="001A1316"/>
    <w:rsid w:val="001A38C1"/>
    <w:rsid w:val="001A48A0"/>
    <w:rsid w:val="001A4B57"/>
    <w:rsid w:val="001B2994"/>
    <w:rsid w:val="001C1519"/>
    <w:rsid w:val="001D2C74"/>
    <w:rsid w:val="001D6A7D"/>
    <w:rsid w:val="001E6F03"/>
    <w:rsid w:val="001F18C7"/>
    <w:rsid w:val="001F6035"/>
    <w:rsid w:val="002055F6"/>
    <w:rsid w:val="00221333"/>
    <w:rsid w:val="00225E2E"/>
    <w:rsid w:val="002274C7"/>
    <w:rsid w:val="002275C8"/>
    <w:rsid w:val="002334CB"/>
    <w:rsid w:val="00235C45"/>
    <w:rsid w:val="00242717"/>
    <w:rsid w:val="00242772"/>
    <w:rsid w:val="00243BE1"/>
    <w:rsid w:val="00243D47"/>
    <w:rsid w:val="00246F60"/>
    <w:rsid w:val="002513C8"/>
    <w:rsid w:val="002560D6"/>
    <w:rsid w:val="00271663"/>
    <w:rsid w:val="0027378F"/>
    <w:rsid w:val="00282704"/>
    <w:rsid w:val="00283B0F"/>
    <w:rsid w:val="00294FC9"/>
    <w:rsid w:val="002A70D6"/>
    <w:rsid w:val="002B00A5"/>
    <w:rsid w:val="002B5503"/>
    <w:rsid w:val="002C3722"/>
    <w:rsid w:val="002C4463"/>
    <w:rsid w:val="002D5C11"/>
    <w:rsid w:val="002D5E02"/>
    <w:rsid w:val="002D73C2"/>
    <w:rsid w:val="002E0D3B"/>
    <w:rsid w:val="002F18B7"/>
    <w:rsid w:val="002F277B"/>
    <w:rsid w:val="002F399B"/>
    <w:rsid w:val="002F45E7"/>
    <w:rsid w:val="00302C25"/>
    <w:rsid w:val="00303028"/>
    <w:rsid w:val="00303AF6"/>
    <w:rsid w:val="00316E46"/>
    <w:rsid w:val="003203E7"/>
    <w:rsid w:val="003278A0"/>
    <w:rsid w:val="003409A3"/>
    <w:rsid w:val="00345E8A"/>
    <w:rsid w:val="00351335"/>
    <w:rsid w:val="00351750"/>
    <w:rsid w:val="00351D93"/>
    <w:rsid w:val="00356A46"/>
    <w:rsid w:val="0036164D"/>
    <w:rsid w:val="00361D8B"/>
    <w:rsid w:val="00363F60"/>
    <w:rsid w:val="003647A8"/>
    <w:rsid w:val="0037062D"/>
    <w:rsid w:val="00383419"/>
    <w:rsid w:val="003959ED"/>
    <w:rsid w:val="003A62DF"/>
    <w:rsid w:val="003B1430"/>
    <w:rsid w:val="003B3142"/>
    <w:rsid w:val="003B612F"/>
    <w:rsid w:val="003C28CE"/>
    <w:rsid w:val="003D1293"/>
    <w:rsid w:val="003D2FD0"/>
    <w:rsid w:val="003D4CBE"/>
    <w:rsid w:val="003E1EF1"/>
    <w:rsid w:val="003F13BC"/>
    <w:rsid w:val="003F35D1"/>
    <w:rsid w:val="00404DDA"/>
    <w:rsid w:val="00411C4E"/>
    <w:rsid w:val="00425E4A"/>
    <w:rsid w:val="00434CD9"/>
    <w:rsid w:val="00441910"/>
    <w:rsid w:val="00443B1A"/>
    <w:rsid w:val="00443C56"/>
    <w:rsid w:val="0044523F"/>
    <w:rsid w:val="00451DAE"/>
    <w:rsid w:val="0045768F"/>
    <w:rsid w:val="00461882"/>
    <w:rsid w:val="00463379"/>
    <w:rsid w:val="0046491F"/>
    <w:rsid w:val="00464F86"/>
    <w:rsid w:val="00466B81"/>
    <w:rsid w:val="00466C8A"/>
    <w:rsid w:val="00467D5F"/>
    <w:rsid w:val="00482ADA"/>
    <w:rsid w:val="004830BD"/>
    <w:rsid w:val="00492466"/>
    <w:rsid w:val="00492F43"/>
    <w:rsid w:val="004A01CA"/>
    <w:rsid w:val="004A1A2E"/>
    <w:rsid w:val="004A1DC9"/>
    <w:rsid w:val="004A683D"/>
    <w:rsid w:val="004A6F8A"/>
    <w:rsid w:val="004B20D5"/>
    <w:rsid w:val="004C5A14"/>
    <w:rsid w:val="004C61C7"/>
    <w:rsid w:val="004D1337"/>
    <w:rsid w:val="004D4525"/>
    <w:rsid w:val="004F3BDA"/>
    <w:rsid w:val="004F5598"/>
    <w:rsid w:val="00500A79"/>
    <w:rsid w:val="0050107C"/>
    <w:rsid w:val="005167FF"/>
    <w:rsid w:val="00520370"/>
    <w:rsid w:val="00522F64"/>
    <w:rsid w:val="00524710"/>
    <w:rsid w:val="005257C5"/>
    <w:rsid w:val="00530E1D"/>
    <w:rsid w:val="0053225C"/>
    <w:rsid w:val="00541EBB"/>
    <w:rsid w:val="0054317E"/>
    <w:rsid w:val="00543F4D"/>
    <w:rsid w:val="00545302"/>
    <w:rsid w:val="00546BFE"/>
    <w:rsid w:val="00554BC0"/>
    <w:rsid w:val="00557434"/>
    <w:rsid w:val="00557926"/>
    <w:rsid w:val="005607C6"/>
    <w:rsid w:val="00561BF0"/>
    <w:rsid w:val="005633B2"/>
    <w:rsid w:val="005664D4"/>
    <w:rsid w:val="00571347"/>
    <w:rsid w:val="00572222"/>
    <w:rsid w:val="0057371B"/>
    <w:rsid w:val="00573AC1"/>
    <w:rsid w:val="00577203"/>
    <w:rsid w:val="005813A2"/>
    <w:rsid w:val="005843AA"/>
    <w:rsid w:val="00584B6F"/>
    <w:rsid w:val="00586BAF"/>
    <w:rsid w:val="00587F9C"/>
    <w:rsid w:val="00592C4A"/>
    <w:rsid w:val="00594A7E"/>
    <w:rsid w:val="005A20CD"/>
    <w:rsid w:val="005B0B65"/>
    <w:rsid w:val="005B4B89"/>
    <w:rsid w:val="005B6382"/>
    <w:rsid w:val="005C2E29"/>
    <w:rsid w:val="005D058F"/>
    <w:rsid w:val="005E157E"/>
    <w:rsid w:val="005E1D8B"/>
    <w:rsid w:val="005E6015"/>
    <w:rsid w:val="005E6F97"/>
    <w:rsid w:val="005E7175"/>
    <w:rsid w:val="005F2CE7"/>
    <w:rsid w:val="005F5C06"/>
    <w:rsid w:val="005F65A0"/>
    <w:rsid w:val="006102CE"/>
    <w:rsid w:val="00611ED0"/>
    <w:rsid w:val="006124A3"/>
    <w:rsid w:val="006311A5"/>
    <w:rsid w:val="006315C6"/>
    <w:rsid w:val="00633436"/>
    <w:rsid w:val="0064078E"/>
    <w:rsid w:val="00646BDF"/>
    <w:rsid w:val="006575D8"/>
    <w:rsid w:val="00670BDF"/>
    <w:rsid w:val="00672523"/>
    <w:rsid w:val="00685B08"/>
    <w:rsid w:val="00693E19"/>
    <w:rsid w:val="006A5137"/>
    <w:rsid w:val="006B04CA"/>
    <w:rsid w:val="006B4EFA"/>
    <w:rsid w:val="006C0442"/>
    <w:rsid w:val="006C2574"/>
    <w:rsid w:val="006C4647"/>
    <w:rsid w:val="006C4889"/>
    <w:rsid w:val="006C4EDA"/>
    <w:rsid w:val="006C58E7"/>
    <w:rsid w:val="006D3582"/>
    <w:rsid w:val="006D596A"/>
    <w:rsid w:val="006D5AE1"/>
    <w:rsid w:val="006F2CDE"/>
    <w:rsid w:val="006F2D40"/>
    <w:rsid w:val="006F589C"/>
    <w:rsid w:val="00707A36"/>
    <w:rsid w:val="00716AF6"/>
    <w:rsid w:val="0073638F"/>
    <w:rsid w:val="00740566"/>
    <w:rsid w:val="007407C4"/>
    <w:rsid w:val="0074258B"/>
    <w:rsid w:val="00746647"/>
    <w:rsid w:val="007511A5"/>
    <w:rsid w:val="00757836"/>
    <w:rsid w:val="007656D6"/>
    <w:rsid w:val="007661C7"/>
    <w:rsid w:val="00766769"/>
    <w:rsid w:val="007671B6"/>
    <w:rsid w:val="007804A2"/>
    <w:rsid w:val="007A39BE"/>
    <w:rsid w:val="007A6DEE"/>
    <w:rsid w:val="007B07DC"/>
    <w:rsid w:val="007B311A"/>
    <w:rsid w:val="007B5A99"/>
    <w:rsid w:val="007C7440"/>
    <w:rsid w:val="007D015A"/>
    <w:rsid w:val="007D032D"/>
    <w:rsid w:val="007D2D62"/>
    <w:rsid w:val="007D7D80"/>
    <w:rsid w:val="007E16F9"/>
    <w:rsid w:val="007E2ECF"/>
    <w:rsid w:val="007F2BDF"/>
    <w:rsid w:val="007F3293"/>
    <w:rsid w:val="008028AE"/>
    <w:rsid w:val="00803C06"/>
    <w:rsid w:val="008043A3"/>
    <w:rsid w:val="00805004"/>
    <w:rsid w:val="008062E7"/>
    <w:rsid w:val="0080681C"/>
    <w:rsid w:val="00807704"/>
    <w:rsid w:val="0081006B"/>
    <w:rsid w:val="008246B0"/>
    <w:rsid w:val="00824936"/>
    <w:rsid w:val="00833CAA"/>
    <w:rsid w:val="00836ACE"/>
    <w:rsid w:val="00837F8C"/>
    <w:rsid w:val="0084129C"/>
    <w:rsid w:val="00847798"/>
    <w:rsid w:val="00850988"/>
    <w:rsid w:val="008549DA"/>
    <w:rsid w:val="008555E9"/>
    <w:rsid w:val="00873BEE"/>
    <w:rsid w:val="0087691E"/>
    <w:rsid w:val="00876AC3"/>
    <w:rsid w:val="00880E72"/>
    <w:rsid w:val="00883D1E"/>
    <w:rsid w:val="008852CB"/>
    <w:rsid w:val="0088533F"/>
    <w:rsid w:val="00885612"/>
    <w:rsid w:val="00885633"/>
    <w:rsid w:val="00886AB8"/>
    <w:rsid w:val="00893237"/>
    <w:rsid w:val="008960ED"/>
    <w:rsid w:val="008963F2"/>
    <w:rsid w:val="00896D07"/>
    <w:rsid w:val="00897AAD"/>
    <w:rsid w:val="008A6EBE"/>
    <w:rsid w:val="008C182C"/>
    <w:rsid w:val="008D064D"/>
    <w:rsid w:val="008D1429"/>
    <w:rsid w:val="008D556D"/>
    <w:rsid w:val="008E2271"/>
    <w:rsid w:val="008E2855"/>
    <w:rsid w:val="008F41A6"/>
    <w:rsid w:val="008F62BF"/>
    <w:rsid w:val="008F7783"/>
    <w:rsid w:val="008F798A"/>
    <w:rsid w:val="00903D23"/>
    <w:rsid w:val="009256FF"/>
    <w:rsid w:val="00926750"/>
    <w:rsid w:val="009278FA"/>
    <w:rsid w:val="009506EB"/>
    <w:rsid w:val="009616B8"/>
    <w:rsid w:val="00962CB1"/>
    <w:rsid w:val="00963A0E"/>
    <w:rsid w:val="009706CB"/>
    <w:rsid w:val="00975B28"/>
    <w:rsid w:val="009763BD"/>
    <w:rsid w:val="00981DD9"/>
    <w:rsid w:val="00990D77"/>
    <w:rsid w:val="00995195"/>
    <w:rsid w:val="0099666F"/>
    <w:rsid w:val="009A0899"/>
    <w:rsid w:val="009A35BA"/>
    <w:rsid w:val="009B6872"/>
    <w:rsid w:val="009C0B72"/>
    <w:rsid w:val="009C17E4"/>
    <w:rsid w:val="009C3A21"/>
    <w:rsid w:val="009D434D"/>
    <w:rsid w:val="009E458E"/>
    <w:rsid w:val="009F1858"/>
    <w:rsid w:val="009F1C0D"/>
    <w:rsid w:val="009F509B"/>
    <w:rsid w:val="00A046E7"/>
    <w:rsid w:val="00A11AF8"/>
    <w:rsid w:val="00A11CD4"/>
    <w:rsid w:val="00A14EA4"/>
    <w:rsid w:val="00A238B7"/>
    <w:rsid w:val="00A272ED"/>
    <w:rsid w:val="00A319C0"/>
    <w:rsid w:val="00A32732"/>
    <w:rsid w:val="00A350F2"/>
    <w:rsid w:val="00A41922"/>
    <w:rsid w:val="00A46BBF"/>
    <w:rsid w:val="00A500B4"/>
    <w:rsid w:val="00A50AC3"/>
    <w:rsid w:val="00A50DDB"/>
    <w:rsid w:val="00A53A6B"/>
    <w:rsid w:val="00A737A0"/>
    <w:rsid w:val="00A8364D"/>
    <w:rsid w:val="00A83BBA"/>
    <w:rsid w:val="00A9475C"/>
    <w:rsid w:val="00A97065"/>
    <w:rsid w:val="00AA363A"/>
    <w:rsid w:val="00AA4866"/>
    <w:rsid w:val="00AB349F"/>
    <w:rsid w:val="00AB3A2F"/>
    <w:rsid w:val="00AC3871"/>
    <w:rsid w:val="00AC79AD"/>
    <w:rsid w:val="00AD69D6"/>
    <w:rsid w:val="00AE0ED7"/>
    <w:rsid w:val="00AF2B0F"/>
    <w:rsid w:val="00AF3E9C"/>
    <w:rsid w:val="00B02886"/>
    <w:rsid w:val="00B04C7C"/>
    <w:rsid w:val="00B1554D"/>
    <w:rsid w:val="00B175E0"/>
    <w:rsid w:val="00B221AA"/>
    <w:rsid w:val="00B241F9"/>
    <w:rsid w:val="00B2426A"/>
    <w:rsid w:val="00B2441D"/>
    <w:rsid w:val="00B360A8"/>
    <w:rsid w:val="00B36899"/>
    <w:rsid w:val="00B36F3D"/>
    <w:rsid w:val="00B3720C"/>
    <w:rsid w:val="00B41E34"/>
    <w:rsid w:val="00B42473"/>
    <w:rsid w:val="00B517CF"/>
    <w:rsid w:val="00B531C3"/>
    <w:rsid w:val="00B54FEF"/>
    <w:rsid w:val="00B61F5D"/>
    <w:rsid w:val="00B77747"/>
    <w:rsid w:val="00B82CF8"/>
    <w:rsid w:val="00B84558"/>
    <w:rsid w:val="00B864FD"/>
    <w:rsid w:val="00B868BE"/>
    <w:rsid w:val="00B86F20"/>
    <w:rsid w:val="00B90E4D"/>
    <w:rsid w:val="00B916FA"/>
    <w:rsid w:val="00BA1E50"/>
    <w:rsid w:val="00BA5B25"/>
    <w:rsid w:val="00BB225B"/>
    <w:rsid w:val="00BB5576"/>
    <w:rsid w:val="00BB5AA4"/>
    <w:rsid w:val="00BC0EB0"/>
    <w:rsid w:val="00BC48C0"/>
    <w:rsid w:val="00BD2F8C"/>
    <w:rsid w:val="00BE12A0"/>
    <w:rsid w:val="00BE3672"/>
    <w:rsid w:val="00C10830"/>
    <w:rsid w:val="00C11018"/>
    <w:rsid w:val="00C11484"/>
    <w:rsid w:val="00C12D0B"/>
    <w:rsid w:val="00C14EA9"/>
    <w:rsid w:val="00C1618B"/>
    <w:rsid w:val="00C1701F"/>
    <w:rsid w:val="00C17880"/>
    <w:rsid w:val="00C234B6"/>
    <w:rsid w:val="00C263B8"/>
    <w:rsid w:val="00C33498"/>
    <w:rsid w:val="00C40205"/>
    <w:rsid w:val="00C45580"/>
    <w:rsid w:val="00C60594"/>
    <w:rsid w:val="00C65D0E"/>
    <w:rsid w:val="00C67A9D"/>
    <w:rsid w:val="00C764A9"/>
    <w:rsid w:val="00C81884"/>
    <w:rsid w:val="00C829BC"/>
    <w:rsid w:val="00C84403"/>
    <w:rsid w:val="00C8554B"/>
    <w:rsid w:val="00CA2E01"/>
    <w:rsid w:val="00CA7274"/>
    <w:rsid w:val="00CB3E0B"/>
    <w:rsid w:val="00CC7B83"/>
    <w:rsid w:val="00CC7C4C"/>
    <w:rsid w:val="00CD6234"/>
    <w:rsid w:val="00CE0385"/>
    <w:rsid w:val="00CE5204"/>
    <w:rsid w:val="00CE5C3A"/>
    <w:rsid w:val="00CF1C3F"/>
    <w:rsid w:val="00CF37E1"/>
    <w:rsid w:val="00CF4762"/>
    <w:rsid w:val="00D032BD"/>
    <w:rsid w:val="00D05ADF"/>
    <w:rsid w:val="00D11019"/>
    <w:rsid w:val="00D14778"/>
    <w:rsid w:val="00D15B0B"/>
    <w:rsid w:val="00D1788E"/>
    <w:rsid w:val="00D216F6"/>
    <w:rsid w:val="00D21882"/>
    <w:rsid w:val="00D2221D"/>
    <w:rsid w:val="00D26703"/>
    <w:rsid w:val="00D3193F"/>
    <w:rsid w:val="00D434E7"/>
    <w:rsid w:val="00D44300"/>
    <w:rsid w:val="00D50E7C"/>
    <w:rsid w:val="00D54168"/>
    <w:rsid w:val="00D57B06"/>
    <w:rsid w:val="00D868F5"/>
    <w:rsid w:val="00D87A36"/>
    <w:rsid w:val="00D95BA4"/>
    <w:rsid w:val="00DA3BF7"/>
    <w:rsid w:val="00DB071C"/>
    <w:rsid w:val="00DB0C10"/>
    <w:rsid w:val="00DB2C30"/>
    <w:rsid w:val="00DC10CA"/>
    <w:rsid w:val="00DC16E6"/>
    <w:rsid w:val="00DC1EF5"/>
    <w:rsid w:val="00DC2074"/>
    <w:rsid w:val="00DC280E"/>
    <w:rsid w:val="00DC40BA"/>
    <w:rsid w:val="00DC5FB7"/>
    <w:rsid w:val="00DD38DC"/>
    <w:rsid w:val="00DD7261"/>
    <w:rsid w:val="00DF0B4C"/>
    <w:rsid w:val="00DF6449"/>
    <w:rsid w:val="00DF6BCF"/>
    <w:rsid w:val="00DF737C"/>
    <w:rsid w:val="00E10AC9"/>
    <w:rsid w:val="00E20015"/>
    <w:rsid w:val="00E26BFE"/>
    <w:rsid w:val="00E36661"/>
    <w:rsid w:val="00E43544"/>
    <w:rsid w:val="00E460EF"/>
    <w:rsid w:val="00E54F79"/>
    <w:rsid w:val="00E56B9D"/>
    <w:rsid w:val="00E610F0"/>
    <w:rsid w:val="00E631BE"/>
    <w:rsid w:val="00E72796"/>
    <w:rsid w:val="00E847BC"/>
    <w:rsid w:val="00E862F7"/>
    <w:rsid w:val="00E939D0"/>
    <w:rsid w:val="00EA1DAE"/>
    <w:rsid w:val="00EA3C2F"/>
    <w:rsid w:val="00EA4448"/>
    <w:rsid w:val="00EA697D"/>
    <w:rsid w:val="00EA7D5A"/>
    <w:rsid w:val="00EB0B8A"/>
    <w:rsid w:val="00ED1AC4"/>
    <w:rsid w:val="00ED3961"/>
    <w:rsid w:val="00ED530B"/>
    <w:rsid w:val="00ED73DD"/>
    <w:rsid w:val="00EE52E8"/>
    <w:rsid w:val="00EF4D2D"/>
    <w:rsid w:val="00EF4D73"/>
    <w:rsid w:val="00EF544C"/>
    <w:rsid w:val="00EF6C47"/>
    <w:rsid w:val="00F01CB7"/>
    <w:rsid w:val="00F04AD1"/>
    <w:rsid w:val="00F07B69"/>
    <w:rsid w:val="00F11416"/>
    <w:rsid w:val="00F1145E"/>
    <w:rsid w:val="00F177C1"/>
    <w:rsid w:val="00F26089"/>
    <w:rsid w:val="00F43CC9"/>
    <w:rsid w:val="00F45921"/>
    <w:rsid w:val="00F52238"/>
    <w:rsid w:val="00F56E84"/>
    <w:rsid w:val="00F70E16"/>
    <w:rsid w:val="00F74425"/>
    <w:rsid w:val="00F77AAA"/>
    <w:rsid w:val="00F83050"/>
    <w:rsid w:val="00F853D8"/>
    <w:rsid w:val="00F87CBE"/>
    <w:rsid w:val="00F90258"/>
    <w:rsid w:val="00F93A0D"/>
    <w:rsid w:val="00FA0A2B"/>
    <w:rsid w:val="00FA0DAF"/>
    <w:rsid w:val="00FA5AC5"/>
    <w:rsid w:val="00FA69A3"/>
    <w:rsid w:val="00FA734C"/>
    <w:rsid w:val="00FB0B3B"/>
    <w:rsid w:val="00FC15E5"/>
    <w:rsid w:val="00FC402B"/>
    <w:rsid w:val="00FC67D3"/>
    <w:rsid w:val="00FC6F40"/>
    <w:rsid w:val="00FD4387"/>
    <w:rsid w:val="00FD4679"/>
    <w:rsid w:val="00FD6B47"/>
    <w:rsid w:val="00FE088C"/>
    <w:rsid w:val="00FE0D3A"/>
    <w:rsid w:val="00FE2142"/>
    <w:rsid w:val="00FE6238"/>
    <w:rsid w:val="00FF1D7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20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C11"/>
  </w:style>
  <w:style w:type="paragraph" w:styleId="Heading1">
    <w:name w:val="heading 1"/>
    <w:basedOn w:val="Normal"/>
    <w:next w:val="Normal"/>
    <w:qFormat/>
    <w:rsid w:val="002D5C11"/>
    <w:pPr>
      <w:keepNext/>
      <w:jc w:val="both"/>
      <w:outlineLvl w:val="0"/>
    </w:pPr>
    <w:rPr>
      <w:b/>
      <w:sz w:val="22"/>
    </w:rPr>
  </w:style>
  <w:style w:type="paragraph" w:styleId="Heading2">
    <w:name w:val="heading 2"/>
    <w:basedOn w:val="Normal"/>
    <w:next w:val="Normal"/>
    <w:qFormat/>
    <w:rsid w:val="002D5C11"/>
    <w:pPr>
      <w:keepNext/>
      <w:outlineLvl w:val="1"/>
    </w:pPr>
    <w:rPr>
      <w:sz w:val="24"/>
      <w:lang w:val="fr-FR"/>
    </w:rPr>
  </w:style>
  <w:style w:type="paragraph" w:styleId="Heading3">
    <w:name w:val="heading 3"/>
    <w:basedOn w:val="Normal"/>
    <w:next w:val="Normal"/>
    <w:qFormat/>
    <w:rsid w:val="002D5C11"/>
    <w:pPr>
      <w:keepNext/>
      <w:outlineLvl w:val="2"/>
    </w:pPr>
    <w:rPr>
      <w:sz w:val="40"/>
      <w:lang w:val="fr-FR"/>
    </w:rPr>
  </w:style>
  <w:style w:type="paragraph" w:styleId="Heading4">
    <w:name w:val="heading 4"/>
    <w:basedOn w:val="Normal"/>
    <w:next w:val="Normal"/>
    <w:qFormat/>
    <w:rsid w:val="002D5C11"/>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D5C11"/>
  </w:style>
  <w:style w:type="character" w:styleId="FootnoteReference">
    <w:name w:val="footnote reference"/>
    <w:semiHidden/>
    <w:rsid w:val="002D5C11"/>
    <w:rPr>
      <w:vertAlign w:val="superscript"/>
    </w:rPr>
  </w:style>
  <w:style w:type="paragraph" w:styleId="DocumentMap">
    <w:name w:val="Document Map"/>
    <w:basedOn w:val="Normal"/>
    <w:semiHidden/>
    <w:rsid w:val="002D5C11"/>
    <w:pPr>
      <w:shd w:val="clear" w:color="auto" w:fill="000080"/>
    </w:pPr>
    <w:rPr>
      <w:rFonts w:ascii="Tahoma" w:hAnsi="Tahoma"/>
    </w:rPr>
  </w:style>
  <w:style w:type="paragraph" w:styleId="Header">
    <w:name w:val="header"/>
    <w:basedOn w:val="Normal"/>
    <w:rsid w:val="002D5C11"/>
    <w:pPr>
      <w:tabs>
        <w:tab w:val="center" w:pos="4320"/>
        <w:tab w:val="right" w:pos="8640"/>
      </w:tabs>
    </w:pPr>
  </w:style>
  <w:style w:type="paragraph" w:styleId="Footer">
    <w:name w:val="footer"/>
    <w:basedOn w:val="Normal"/>
    <w:rsid w:val="002D5C11"/>
    <w:pPr>
      <w:tabs>
        <w:tab w:val="center" w:pos="4320"/>
        <w:tab w:val="right" w:pos="8640"/>
      </w:tabs>
    </w:pPr>
  </w:style>
  <w:style w:type="character" w:styleId="CommentReference">
    <w:name w:val="annotation reference"/>
    <w:semiHidden/>
    <w:rsid w:val="002D5C11"/>
    <w:rPr>
      <w:sz w:val="16"/>
    </w:rPr>
  </w:style>
  <w:style w:type="paragraph" w:styleId="CommentText">
    <w:name w:val="annotation text"/>
    <w:basedOn w:val="Normal"/>
    <w:link w:val="CommentTextChar"/>
    <w:semiHidden/>
    <w:rsid w:val="002D5C11"/>
  </w:style>
  <w:style w:type="character" w:styleId="PageNumber">
    <w:name w:val="page number"/>
    <w:basedOn w:val="DefaultParagraphFont"/>
    <w:rsid w:val="002D5C11"/>
  </w:style>
  <w:style w:type="paragraph" w:customStyle="1" w:styleId="SingleTxt">
    <w:name w:val="__Single Txt"/>
    <w:basedOn w:val="Normal"/>
    <w:rsid w:val="002D5C1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B2441D"/>
    <w:rPr>
      <w:rFonts w:ascii="Tahoma" w:hAnsi="Tahoma" w:cs="Tahoma"/>
      <w:sz w:val="16"/>
      <w:szCs w:val="16"/>
    </w:rPr>
  </w:style>
  <w:style w:type="table" w:styleId="TableGrid">
    <w:name w:val="Table Grid"/>
    <w:basedOn w:val="TableNormal"/>
    <w:rsid w:val="003D4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_ H_1"/>
    <w:basedOn w:val="Normal"/>
    <w:next w:val="SingleTxt"/>
    <w:rsid w:val="0046337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lang w:val="en-GB"/>
    </w:rPr>
  </w:style>
  <w:style w:type="paragraph" w:customStyle="1" w:styleId="H23">
    <w:name w:val="_ H_2/3"/>
    <w:basedOn w:val="H1"/>
    <w:next w:val="SingleTxt"/>
    <w:rsid w:val="00463379"/>
    <w:pPr>
      <w:spacing w:line="240" w:lineRule="exact"/>
      <w:outlineLvl w:val="1"/>
    </w:pPr>
    <w:rPr>
      <w:spacing w:val="2"/>
      <w:sz w:val="20"/>
    </w:rPr>
  </w:style>
  <w:style w:type="character" w:customStyle="1" w:styleId="CommentTextChar">
    <w:name w:val="Comment Text Char"/>
    <w:link w:val="CommentText"/>
    <w:semiHidden/>
    <w:rsid w:val="00FC67D3"/>
  </w:style>
  <w:style w:type="paragraph" w:styleId="CommentSubject">
    <w:name w:val="annotation subject"/>
    <w:basedOn w:val="CommentText"/>
    <w:next w:val="CommentText"/>
    <w:link w:val="CommentSubjectChar"/>
    <w:rsid w:val="003F35D1"/>
    <w:rPr>
      <w:b/>
      <w:bCs/>
    </w:rPr>
  </w:style>
  <w:style w:type="character" w:customStyle="1" w:styleId="CommentSubjectChar">
    <w:name w:val="Comment Subject Char"/>
    <w:basedOn w:val="CommentTextChar"/>
    <w:link w:val="CommentSubject"/>
    <w:rsid w:val="003F35D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C11"/>
  </w:style>
  <w:style w:type="paragraph" w:styleId="Heading1">
    <w:name w:val="heading 1"/>
    <w:basedOn w:val="Normal"/>
    <w:next w:val="Normal"/>
    <w:qFormat/>
    <w:rsid w:val="002D5C11"/>
    <w:pPr>
      <w:keepNext/>
      <w:jc w:val="both"/>
      <w:outlineLvl w:val="0"/>
    </w:pPr>
    <w:rPr>
      <w:b/>
      <w:sz w:val="22"/>
    </w:rPr>
  </w:style>
  <w:style w:type="paragraph" w:styleId="Heading2">
    <w:name w:val="heading 2"/>
    <w:basedOn w:val="Normal"/>
    <w:next w:val="Normal"/>
    <w:qFormat/>
    <w:rsid w:val="002D5C11"/>
    <w:pPr>
      <w:keepNext/>
      <w:outlineLvl w:val="1"/>
    </w:pPr>
    <w:rPr>
      <w:sz w:val="24"/>
      <w:lang w:val="fr-FR"/>
    </w:rPr>
  </w:style>
  <w:style w:type="paragraph" w:styleId="Heading3">
    <w:name w:val="heading 3"/>
    <w:basedOn w:val="Normal"/>
    <w:next w:val="Normal"/>
    <w:qFormat/>
    <w:rsid w:val="002D5C11"/>
    <w:pPr>
      <w:keepNext/>
      <w:outlineLvl w:val="2"/>
    </w:pPr>
    <w:rPr>
      <w:sz w:val="40"/>
      <w:lang w:val="fr-FR"/>
    </w:rPr>
  </w:style>
  <w:style w:type="paragraph" w:styleId="Heading4">
    <w:name w:val="heading 4"/>
    <w:basedOn w:val="Normal"/>
    <w:next w:val="Normal"/>
    <w:qFormat/>
    <w:rsid w:val="002D5C11"/>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D5C11"/>
  </w:style>
  <w:style w:type="character" w:styleId="FootnoteReference">
    <w:name w:val="footnote reference"/>
    <w:semiHidden/>
    <w:rsid w:val="002D5C11"/>
    <w:rPr>
      <w:vertAlign w:val="superscript"/>
    </w:rPr>
  </w:style>
  <w:style w:type="paragraph" w:styleId="DocumentMap">
    <w:name w:val="Document Map"/>
    <w:basedOn w:val="Normal"/>
    <w:semiHidden/>
    <w:rsid w:val="002D5C11"/>
    <w:pPr>
      <w:shd w:val="clear" w:color="auto" w:fill="000080"/>
    </w:pPr>
    <w:rPr>
      <w:rFonts w:ascii="Tahoma" w:hAnsi="Tahoma"/>
    </w:rPr>
  </w:style>
  <w:style w:type="paragraph" w:styleId="Header">
    <w:name w:val="header"/>
    <w:basedOn w:val="Normal"/>
    <w:rsid w:val="002D5C11"/>
    <w:pPr>
      <w:tabs>
        <w:tab w:val="center" w:pos="4320"/>
        <w:tab w:val="right" w:pos="8640"/>
      </w:tabs>
    </w:pPr>
  </w:style>
  <w:style w:type="paragraph" w:styleId="Footer">
    <w:name w:val="footer"/>
    <w:basedOn w:val="Normal"/>
    <w:rsid w:val="002D5C11"/>
    <w:pPr>
      <w:tabs>
        <w:tab w:val="center" w:pos="4320"/>
        <w:tab w:val="right" w:pos="8640"/>
      </w:tabs>
    </w:pPr>
  </w:style>
  <w:style w:type="character" w:styleId="CommentReference">
    <w:name w:val="annotation reference"/>
    <w:semiHidden/>
    <w:rsid w:val="002D5C11"/>
    <w:rPr>
      <w:sz w:val="16"/>
    </w:rPr>
  </w:style>
  <w:style w:type="paragraph" w:styleId="CommentText">
    <w:name w:val="annotation text"/>
    <w:basedOn w:val="Normal"/>
    <w:link w:val="CommentTextChar"/>
    <w:semiHidden/>
    <w:rsid w:val="002D5C11"/>
  </w:style>
  <w:style w:type="character" w:styleId="PageNumber">
    <w:name w:val="page number"/>
    <w:basedOn w:val="DefaultParagraphFont"/>
    <w:rsid w:val="002D5C11"/>
  </w:style>
  <w:style w:type="paragraph" w:customStyle="1" w:styleId="SingleTxt">
    <w:name w:val="__Single Txt"/>
    <w:basedOn w:val="Normal"/>
    <w:rsid w:val="002D5C1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B2441D"/>
    <w:rPr>
      <w:rFonts w:ascii="Tahoma" w:hAnsi="Tahoma" w:cs="Tahoma"/>
      <w:sz w:val="16"/>
      <w:szCs w:val="16"/>
    </w:rPr>
  </w:style>
  <w:style w:type="table" w:styleId="TableGrid">
    <w:name w:val="Table Grid"/>
    <w:basedOn w:val="TableNormal"/>
    <w:rsid w:val="003D4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_ H_1"/>
    <w:basedOn w:val="Normal"/>
    <w:next w:val="SingleTxt"/>
    <w:rsid w:val="0046337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lang w:val="en-GB"/>
    </w:rPr>
  </w:style>
  <w:style w:type="paragraph" w:customStyle="1" w:styleId="H23">
    <w:name w:val="_ H_2/3"/>
    <w:basedOn w:val="H1"/>
    <w:next w:val="SingleTxt"/>
    <w:rsid w:val="00463379"/>
    <w:pPr>
      <w:spacing w:line="240" w:lineRule="exact"/>
      <w:outlineLvl w:val="1"/>
    </w:pPr>
    <w:rPr>
      <w:spacing w:val="2"/>
      <w:sz w:val="20"/>
    </w:rPr>
  </w:style>
  <w:style w:type="character" w:customStyle="1" w:styleId="CommentTextChar">
    <w:name w:val="Comment Text Char"/>
    <w:link w:val="CommentText"/>
    <w:semiHidden/>
    <w:rsid w:val="00FC67D3"/>
  </w:style>
  <w:style w:type="paragraph" w:styleId="CommentSubject">
    <w:name w:val="annotation subject"/>
    <w:basedOn w:val="CommentText"/>
    <w:next w:val="CommentText"/>
    <w:link w:val="CommentSubjectChar"/>
    <w:rsid w:val="003F35D1"/>
    <w:rPr>
      <w:b/>
      <w:bCs/>
    </w:rPr>
  </w:style>
  <w:style w:type="character" w:customStyle="1" w:styleId="CommentSubjectChar">
    <w:name w:val="Comment Subject Char"/>
    <w:basedOn w:val="CommentTextChar"/>
    <w:link w:val="CommentSubject"/>
    <w:rsid w:val="003F35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760881">
      <w:bodyDiv w:val="1"/>
      <w:marLeft w:val="0"/>
      <w:marRight w:val="0"/>
      <w:marTop w:val="0"/>
      <w:marBottom w:val="0"/>
      <w:divBdr>
        <w:top w:val="none" w:sz="0" w:space="0" w:color="auto"/>
        <w:left w:val="none" w:sz="0" w:space="0" w:color="auto"/>
        <w:bottom w:val="none" w:sz="0" w:space="0" w:color="auto"/>
        <w:right w:val="none" w:sz="0" w:space="0" w:color="auto"/>
      </w:divBdr>
      <w:divsChild>
        <w:div w:id="1290667921">
          <w:marLeft w:val="0"/>
          <w:marRight w:val="0"/>
          <w:marTop w:val="0"/>
          <w:marBottom w:val="0"/>
          <w:divBdr>
            <w:top w:val="none" w:sz="0" w:space="0" w:color="auto"/>
            <w:left w:val="none" w:sz="0" w:space="0" w:color="auto"/>
            <w:bottom w:val="none" w:sz="0" w:space="0" w:color="auto"/>
            <w:right w:val="none" w:sz="0" w:space="0" w:color="auto"/>
          </w:divBdr>
        </w:div>
        <w:div w:id="1444953927">
          <w:marLeft w:val="0"/>
          <w:marRight w:val="0"/>
          <w:marTop w:val="0"/>
          <w:marBottom w:val="0"/>
          <w:divBdr>
            <w:top w:val="none" w:sz="0" w:space="0" w:color="auto"/>
            <w:left w:val="none" w:sz="0" w:space="0" w:color="auto"/>
            <w:bottom w:val="none" w:sz="0" w:space="0" w:color="auto"/>
            <w:right w:val="none" w:sz="0" w:space="0" w:color="auto"/>
          </w:divBdr>
        </w:div>
        <w:div w:id="337654381">
          <w:marLeft w:val="0"/>
          <w:marRight w:val="0"/>
          <w:marTop w:val="0"/>
          <w:marBottom w:val="0"/>
          <w:divBdr>
            <w:top w:val="none" w:sz="0" w:space="0" w:color="auto"/>
            <w:left w:val="none" w:sz="0" w:space="0" w:color="auto"/>
            <w:bottom w:val="none" w:sz="0" w:space="0" w:color="auto"/>
            <w:right w:val="none" w:sz="0" w:space="0" w:color="auto"/>
          </w:divBdr>
        </w:div>
        <w:div w:id="179858158">
          <w:marLeft w:val="0"/>
          <w:marRight w:val="0"/>
          <w:marTop w:val="0"/>
          <w:marBottom w:val="0"/>
          <w:divBdr>
            <w:top w:val="none" w:sz="0" w:space="0" w:color="auto"/>
            <w:left w:val="none" w:sz="0" w:space="0" w:color="auto"/>
            <w:bottom w:val="none" w:sz="0" w:space="0" w:color="auto"/>
            <w:right w:val="none" w:sz="0" w:space="0" w:color="auto"/>
          </w:divBdr>
        </w:div>
        <w:div w:id="1444568787">
          <w:marLeft w:val="0"/>
          <w:marRight w:val="0"/>
          <w:marTop w:val="0"/>
          <w:marBottom w:val="0"/>
          <w:divBdr>
            <w:top w:val="none" w:sz="0" w:space="0" w:color="auto"/>
            <w:left w:val="none" w:sz="0" w:space="0" w:color="auto"/>
            <w:bottom w:val="none" w:sz="0" w:space="0" w:color="auto"/>
            <w:right w:val="none" w:sz="0" w:space="0" w:color="auto"/>
          </w:divBdr>
        </w:div>
        <w:div w:id="2050564424">
          <w:marLeft w:val="0"/>
          <w:marRight w:val="0"/>
          <w:marTop w:val="0"/>
          <w:marBottom w:val="0"/>
          <w:divBdr>
            <w:top w:val="none" w:sz="0" w:space="0" w:color="auto"/>
            <w:left w:val="none" w:sz="0" w:space="0" w:color="auto"/>
            <w:bottom w:val="none" w:sz="0" w:space="0" w:color="auto"/>
            <w:right w:val="none" w:sz="0" w:space="0" w:color="auto"/>
          </w:divBdr>
        </w:div>
        <w:div w:id="1382166842">
          <w:marLeft w:val="0"/>
          <w:marRight w:val="0"/>
          <w:marTop w:val="0"/>
          <w:marBottom w:val="0"/>
          <w:divBdr>
            <w:top w:val="none" w:sz="0" w:space="0" w:color="auto"/>
            <w:left w:val="none" w:sz="0" w:space="0" w:color="auto"/>
            <w:bottom w:val="none" w:sz="0" w:space="0" w:color="auto"/>
            <w:right w:val="none" w:sz="0" w:space="0" w:color="auto"/>
          </w:divBdr>
        </w:div>
        <w:div w:id="153957242">
          <w:marLeft w:val="0"/>
          <w:marRight w:val="0"/>
          <w:marTop w:val="0"/>
          <w:marBottom w:val="0"/>
          <w:divBdr>
            <w:top w:val="none" w:sz="0" w:space="0" w:color="auto"/>
            <w:left w:val="none" w:sz="0" w:space="0" w:color="auto"/>
            <w:bottom w:val="none" w:sz="0" w:space="0" w:color="auto"/>
            <w:right w:val="none" w:sz="0" w:space="0" w:color="auto"/>
          </w:divBdr>
        </w:div>
        <w:div w:id="1898739732">
          <w:marLeft w:val="0"/>
          <w:marRight w:val="0"/>
          <w:marTop w:val="0"/>
          <w:marBottom w:val="0"/>
          <w:divBdr>
            <w:top w:val="none" w:sz="0" w:space="0" w:color="auto"/>
            <w:left w:val="none" w:sz="0" w:space="0" w:color="auto"/>
            <w:bottom w:val="none" w:sz="0" w:space="0" w:color="auto"/>
            <w:right w:val="none" w:sz="0" w:space="0" w:color="auto"/>
          </w:divBdr>
        </w:div>
        <w:div w:id="1412704164">
          <w:marLeft w:val="0"/>
          <w:marRight w:val="0"/>
          <w:marTop w:val="0"/>
          <w:marBottom w:val="0"/>
          <w:divBdr>
            <w:top w:val="none" w:sz="0" w:space="0" w:color="auto"/>
            <w:left w:val="none" w:sz="0" w:space="0" w:color="auto"/>
            <w:bottom w:val="none" w:sz="0" w:space="0" w:color="auto"/>
            <w:right w:val="none" w:sz="0" w:space="0" w:color="auto"/>
          </w:divBdr>
        </w:div>
        <w:div w:id="1071193304">
          <w:marLeft w:val="0"/>
          <w:marRight w:val="0"/>
          <w:marTop w:val="0"/>
          <w:marBottom w:val="0"/>
          <w:divBdr>
            <w:top w:val="none" w:sz="0" w:space="0" w:color="auto"/>
            <w:left w:val="none" w:sz="0" w:space="0" w:color="auto"/>
            <w:bottom w:val="none" w:sz="0" w:space="0" w:color="auto"/>
            <w:right w:val="none" w:sz="0" w:space="0" w:color="auto"/>
          </w:divBdr>
        </w:div>
        <w:div w:id="397098328">
          <w:marLeft w:val="0"/>
          <w:marRight w:val="0"/>
          <w:marTop w:val="0"/>
          <w:marBottom w:val="0"/>
          <w:divBdr>
            <w:top w:val="none" w:sz="0" w:space="0" w:color="auto"/>
            <w:left w:val="none" w:sz="0" w:space="0" w:color="auto"/>
            <w:bottom w:val="none" w:sz="0" w:space="0" w:color="auto"/>
            <w:right w:val="none" w:sz="0" w:space="0" w:color="auto"/>
          </w:divBdr>
        </w:div>
        <w:div w:id="1692147979">
          <w:marLeft w:val="0"/>
          <w:marRight w:val="0"/>
          <w:marTop w:val="0"/>
          <w:marBottom w:val="0"/>
          <w:divBdr>
            <w:top w:val="none" w:sz="0" w:space="0" w:color="auto"/>
            <w:left w:val="none" w:sz="0" w:space="0" w:color="auto"/>
            <w:bottom w:val="none" w:sz="0" w:space="0" w:color="auto"/>
            <w:right w:val="none" w:sz="0" w:space="0" w:color="auto"/>
          </w:divBdr>
        </w:div>
        <w:div w:id="856308988">
          <w:marLeft w:val="0"/>
          <w:marRight w:val="0"/>
          <w:marTop w:val="0"/>
          <w:marBottom w:val="0"/>
          <w:divBdr>
            <w:top w:val="none" w:sz="0" w:space="0" w:color="auto"/>
            <w:left w:val="none" w:sz="0" w:space="0" w:color="auto"/>
            <w:bottom w:val="none" w:sz="0" w:space="0" w:color="auto"/>
            <w:right w:val="none" w:sz="0" w:space="0" w:color="auto"/>
          </w:divBdr>
        </w:div>
        <w:div w:id="788276545">
          <w:marLeft w:val="0"/>
          <w:marRight w:val="0"/>
          <w:marTop w:val="0"/>
          <w:marBottom w:val="0"/>
          <w:divBdr>
            <w:top w:val="none" w:sz="0" w:space="0" w:color="auto"/>
            <w:left w:val="none" w:sz="0" w:space="0" w:color="auto"/>
            <w:bottom w:val="none" w:sz="0" w:space="0" w:color="auto"/>
            <w:right w:val="none" w:sz="0" w:space="0" w:color="auto"/>
          </w:divBdr>
        </w:div>
        <w:div w:id="1361784487">
          <w:marLeft w:val="0"/>
          <w:marRight w:val="0"/>
          <w:marTop w:val="0"/>
          <w:marBottom w:val="0"/>
          <w:divBdr>
            <w:top w:val="none" w:sz="0" w:space="0" w:color="auto"/>
            <w:left w:val="none" w:sz="0" w:space="0" w:color="auto"/>
            <w:bottom w:val="none" w:sz="0" w:space="0" w:color="auto"/>
            <w:right w:val="none" w:sz="0" w:space="0" w:color="auto"/>
          </w:divBdr>
        </w:div>
        <w:div w:id="1450515176">
          <w:marLeft w:val="0"/>
          <w:marRight w:val="0"/>
          <w:marTop w:val="0"/>
          <w:marBottom w:val="0"/>
          <w:divBdr>
            <w:top w:val="none" w:sz="0" w:space="0" w:color="auto"/>
            <w:left w:val="none" w:sz="0" w:space="0" w:color="auto"/>
            <w:bottom w:val="none" w:sz="0" w:space="0" w:color="auto"/>
            <w:right w:val="none" w:sz="0" w:space="0" w:color="auto"/>
          </w:divBdr>
        </w:div>
        <w:div w:id="1141851156">
          <w:marLeft w:val="0"/>
          <w:marRight w:val="0"/>
          <w:marTop w:val="0"/>
          <w:marBottom w:val="0"/>
          <w:divBdr>
            <w:top w:val="none" w:sz="0" w:space="0" w:color="auto"/>
            <w:left w:val="none" w:sz="0" w:space="0" w:color="auto"/>
            <w:bottom w:val="none" w:sz="0" w:space="0" w:color="auto"/>
            <w:right w:val="none" w:sz="0" w:space="0" w:color="auto"/>
          </w:divBdr>
        </w:div>
        <w:div w:id="1319992911">
          <w:marLeft w:val="0"/>
          <w:marRight w:val="0"/>
          <w:marTop w:val="0"/>
          <w:marBottom w:val="0"/>
          <w:divBdr>
            <w:top w:val="none" w:sz="0" w:space="0" w:color="auto"/>
            <w:left w:val="none" w:sz="0" w:space="0" w:color="auto"/>
            <w:bottom w:val="none" w:sz="0" w:space="0" w:color="auto"/>
            <w:right w:val="none" w:sz="0" w:space="0" w:color="auto"/>
          </w:divBdr>
        </w:div>
        <w:div w:id="927691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ES-6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59E6-A3B3-284A-9C03-BF71E329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Office\Templates\E-RES-68.dot</Template>
  <TotalTime>39</TotalTime>
  <Pages>5</Pages>
  <Words>1997</Words>
  <Characters>11388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UNITED</vt:lpstr>
    </vt:vector>
  </TitlesOfParts>
  <Company>United Nations</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ORES EFS User</dc:creator>
  <cp:lastModifiedBy>Dr. Rudolph Ryser</cp:lastModifiedBy>
  <cp:revision>3</cp:revision>
  <cp:lastPrinted>2014-08-26T17:51:00Z</cp:lastPrinted>
  <dcterms:created xsi:type="dcterms:W3CDTF">2014-08-30T05:26:00Z</dcterms:created>
  <dcterms:modified xsi:type="dcterms:W3CDTF">2014-09-02T21:13:00Z</dcterms:modified>
</cp:coreProperties>
</file>